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snapToGrid w:val="0"/>
        <w:ind w:left="1701" w:hanging="1701"/>
        <w:outlineLvl w:val="0"/>
        <w:rPr>
          <w:rFonts w:ascii="Arial" w:hAnsi="Arial" w:cs="Arial"/>
          <w:b w:val="0"/>
          <w:bCs w:val="0"/>
          <w:sz w:val="22"/>
        </w:rPr>
      </w:pPr>
      <w:bookmarkStart w:id="0" w:name="OLE_LINK1"/>
      <w:bookmarkStart w:id="1" w:name="OLE_LINK2"/>
      <w:r>
        <w:rPr>
          <w:rFonts w:ascii="Arial" w:hAnsi="Arial" w:cs="Arial"/>
          <w:sz w:val="22"/>
        </w:rPr>
        <w:t>3GPP TSG RAN WG1 #10</w:t>
      </w:r>
      <w:r>
        <w:rPr>
          <w:rFonts w:hint="eastAsia" w:ascii="Arial" w:hAnsi="Arial" w:cs="Arial"/>
          <w:sz w:val="22"/>
        </w:rPr>
        <w:t>9</w:t>
      </w:r>
      <w:r>
        <w:rPr>
          <w:rFonts w:ascii="Arial" w:hAnsi="Arial" w:cs="Arial"/>
          <w:sz w:val="22"/>
        </w:rPr>
        <w:t>-e</w:t>
      </w:r>
      <w:r>
        <w:rPr>
          <w:rFonts w:ascii="Arial" w:hAnsi="Arial" w:cs="Arial"/>
          <w:sz w:val="22"/>
        </w:rPr>
        <w:tab/>
      </w:r>
      <w:r>
        <w:rPr>
          <w:rFonts w:ascii="Arial" w:hAnsi="Arial" w:cs="Arial"/>
          <w:sz w:val="22"/>
        </w:rPr>
        <w:tab/>
      </w:r>
      <w:r>
        <w:rPr>
          <w:rFonts w:ascii="Arial" w:hAnsi="Arial" w:cs="Arial"/>
          <w:sz w:val="22"/>
        </w:rPr>
        <w:t xml:space="preserve"> </w:t>
      </w:r>
      <w:r>
        <w:rPr>
          <w:rFonts w:ascii="Arial" w:hAnsi="Arial" w:cs="Arial"/>
          <w:sz w:val="22"/>
        </w:rPr>
        <w:tab/>
      </w:r>
      <w:r>
        <w:rPr>
          <w:rFonts w:ascii="Arial" w:hAnsi="Arial" w:cs="Arial"/>
          <w:sz w:val="22"/>
        </w:rPr>
        <w:t xml:space="preserve">                                   R1-220</w:t>
      </w:r>
      <w:r>
        <w:rPr>
          <w:rFonts w:hint="eastAsia" w:ascii="Arial" w:hAnsi="Arial" w:cs="Arial"/>
          <w:sz w:val="22"/>
        </w:rPr>
        <w:t>3232</w:t>
      </w:r>
    </w:p>
    <w:p>
      <w:pPr>
        <w:pStyle w:val="25"/>
        <w:snapToGrid w:val="0"/>
        <w:ind w:left="1701" w:hanging="1701"/>
        <w:outlineLvl w:val="0"/>
        <w:rPr>
          <w:rFonts w:ascii="Arial" w:hAnsi="Arial" w:cs="Arial"/>
          <w:b w:val="0"/>
          <w:bCs w:val="0"/>
          <w:sz w:val="22"/>
        </w:rPr>
      </w:pPr>
      <w:r>
        <w:rPr>
          <w:rFonts w:ascii="Arial" w:hAnsi="Arial" w:cs="Arial"/>
          <w:sz w:val="22"/>
        </w:rPr>
        <w:t xml:space="preserve">e-Meeting, </w:t>
      </w:r>
      <w:r>
        <w:rPr>
          <w:rFonts w:hint="eastAsia" w:ascii="Arial" w:hAnsi="Arial" w:cs="Arial"/>
          <w:sz w:val="22"/>
        </w:rPr>
        <w:t>May 9</w:t>
      </w:r>
      <w:r>
        <w:rPr>
          <w:rFonts w:hint="eastAsia" w:ascii="Arial" w:hAnsi="Arial" w:cs="Arial"/>
          <w:sz w:val="22"/>
          <w:vertAlign w:val="superscript"/>
        </w:rPr>
        <w:t>th</w:t>
      </w:r>
      <w:r>
        <w:rPr>
          <w:rFonts w:ascii="Arial" w:hAnsi="Arial" w:cs="Arial"/>
          <w:sz w:val="22"/>
        </w:rPr>
        <w:t xml:space="preserve"> –</w:t>
      </w:r>
      <w:r>
        <w:rPr>
          <w:rFonts w:hint="eastAsia" w:ascii="Arial" w:hAnsi="Arial" w:cs="Arial"/>
          <w:sz w:val="22"/>
        </w:rPr>
        <w:t xml:space="preserve"> May 20</w:t>
      </w:r>
      <w:r>
        <w:rPr>
          <w:rFonts w:hint="eastAsia" w:ascii="Arial" w:hAnsi="Arial" w:cs="Arial"/>
          <w:sz w:val="22"/>
          <w:vertAlign w:val="superscript"/>
        </w:rPr>
        <w:t>th</w:t>
      </w:r>
      <w:r>
        <w:rPr>
          <w:rFonts w:ascii="Arial" w:hAnsi="Arial" w:cs="Arial"/>
          <w:sz w:val="22"/>
        </w:rPr>
        <w:t>, 202</w:t>
      </w:r>
      <w:r>
        <w:rPr>
          <w:rFonts w:hint="eastAsia" w:ascii="Arial" w:hAnsi="Arial" w:cs="Arial"/>
          <w:sz w:val="22"/>
        </w:rPr>
        <w:t>2</w:t>
      </w:r>
    </w:p>
    <w:p>
      <w:pPr>
        <w:pStyle w:val="26"/>
        <w:snapToGrid w:val="0"/>
        <w:rPr>
          <w:rFonts w:cs="Arial"/>
          <w:sz w:val="22"/>
        </w:rPr>
      </w:pPr>
    </w:p>
    <w:p>
      <w:pPr>
        <w:pStyle w:val="26"/>
        <w:snapToGrid w:val="0"/>
        <w:outlineLvl w:val="0"/>
        <w:rPr>
          <w:rFonts w:cs="Arial"/>
          <w:sz w:val="22"/>
        </w:rPr>
      </w:pPr>
      <w:r>
        <w:rPr>
          <w:rFonts w:cs="Arial"/>
          <w:sz w:val="22"/>
        </w:rPr>
        <w:t>Source:</w:t>
      </w:r>
      <w:r>
        <w:rPr>
          <w:rFonts w:cs="Arial"/>
          <w:sz w:val="22"/>
        </w:rPr>
        <w:tab/>
      </w:r>
      <w:r>
        <w:rPr>
          <w:rFonts w:cs="Arial"/>
          <w:sz w:val="22"/>
        </w:rPr>
        <w:t>ZTE</w:t>
      </w:r>
    </w:p>
    <w:p>
      <w:pPr>
        <w:pStyle w:val="26"/>
        <w:snapToGrid w:val="0"/>
        <w:outlineLvl w:val="0"/>
        <w:rPr>
          <w:rFonts w:cs="Arial"/>
          <w:sz w:val="22"/>
        </w:rPr>
      </w:pPr>
      <w:r>
        <w:rPr>
          <w:rFonts w:cs="Arial"/>
          <w:sz w:val="22"/>
        </w:rPr>
        <w:t>Title:</w:t>
      </w:r>
      <w:r>
        <w:rPr>
          <w:rFonts w:cs="Arial"/>
          <w:sz w:val="22"/>
        </w:rPr>
        <w:tab/>
      </w:r>
      <w:r>
        <w:rPr>
          <w:rFonts w:cs="Arial"/>
          <w:sz w:val="22"/>
        </w:rPr>
        <w:t xml:space="preserve">Remaining issues </w:t>
      </w:r>
      <w:r>
        <w:rPr>
          <w:rFonts w:hint="eastAsia" w:cs="Arial"/>
          <w:sz w:val="22"/>
        </w:rPr>
        <w:t>on</w:t>
      </w:r>
      <w:r>
        <w:rPr>
          <w:rFonts w:cs="Arial"/>
          <w:sz w:val="22"/>
        </w:rPr>
        <w:t xml:space="preserve"> </w:t>
      </w:r>
      <w:r>
        <w:rPr>
          <w:rFonts w:hint="eastAsia" w:cs="Arial"/>
          <w:sz w:val="22"/>
        </w:rPr>
        <w:t>IoT-NTN</w:t>
      </w:r>
    </w:p>
    <w:p>
      <w:pPr>
        <w:pStyle w:val="26"/>
        <w:snapToGrid w:val="0"/>
        <w:outlineLvl w:val="0"/>
        <w:rPr>
          <w:rFonts w:cs="Arial"/>
          <w:sz w:val="22"/>
        </w:rPr>
      </w:pPr>
      <w:r>
        <w:rPr>
          <w:rFonts w:cs="Arial"/>
          <w:sz w:val="22"/>
        </w:rPr>
        <w:t>Agenda Item:</w:t>
      </w:r>
      <w:r>
        <w:rPr>
          <w:rFonts w:cs="Arial"/>
          <w:sz w:val="22"/>
        </w:rPr>
        <w:tab/>
      </w:r>
      <w:r>
        <w:rPr>
          <w:rFonts w:cs="Arial"/>
          <w:sz w:val="22"/>
        </w:rPr>
        <w:t>8.</w:t>
      </w:r>
      <w:r>
        <w:rPr>
          <w:rFonts w:hint="eastAsia" w:cs="Arial"/>
          <w:sz w:val="22"/>
        </w:rPr>
        <w:t>14</w:t>
      </w:r>
    </w:p>
    <w:p>
      <w:pPr>
        <w:pBdr>
          <w:bottom w:val="single" w:color="auto" w:sz="6" w:space="1"/>
        </w:pBdr>
        <w:snapToGrid w:val="0"/>
        <w:outlineLvl w:val="0"/>
        <w:rPr>
          <w:rFonts w:ascii="Arial" w:hAnsi="Arial"/>
          <w:b/>
        </w:rPr>
      </w:pPr>
      <w:r>
        <w:rPr>
          <w:rFonts w:ascii="Arial" w:hAnsi="Arial"/>
          <w:b/>
        </w:rPr>
        <w:t>Document for:  Discussion</w:t>
      </w:r>
      <w:bookmarkEnd w:id="0"/>
      <w:bookmarkEnd w:id="1"/>
    </w:p>
    <w:p>
      <w:pPr>
        <w:pStyle w:val="2"/>
        <w:keepNext w:val="0"/>
        <w:keepLines w:val="0"/>
        <w:widowControl w:val="0"/>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bookmarkStart w:id="2" w:name="_Ref18181"/>
      <w:r>
        <w:rPr>
          <w:rFonts w:hint="eastAsia" w:eastAsia="黑体" w:cs="Times New Roman"/>
          <w:b/>
          <w:bCs/>
          <w:sz w:val="28"/>
          <w:szCs w:val="30"/>
          <w:lang w:val="en-US"/>
        </w:rPr>
        <w:t>Introduction</w:t>
      </w:r>
      <w:bookmarkEnd w:id="2"/>
    </w:p>
    <w:p>
      <w:pPr>
        <w:spacing w:before="120" w:beforeLines="50" w:after="120" w:afterLines="50" w:line="240" w:lineRule="auto"/>
        <w:ind w:left="440" w:leftChars="200"/>
        <w:jc w:val="both"/>
        <w:rPr>
          <w:rFonts w:ascii="Times New Roman" w:hAnsi="Times New Roman"/>
          <w:sz w:val="20"/>
          <w:szCs w:val="20"/>
        </w:rPr>
      </w:pPr>
      <w:r>
        <w:rPr>
          <w:rFonts w:ascii="Times New Roman" w:hAnsi="Times New Roman"/>
          <w:sz w:val="20"/>
          <w:szCs w:val="20"/>
        </w:rPr>
        <w:t>I</w:t>
      </w:r>
      <w:r>
        <w:rPr>
          <w:rFonts w:ascii="Times New Roman" w:hAnsi="Times New Roman"/>
          <w:sz w:val="20"/>
          <w:szCs w:val="20"/>
          <w:lang w:val="en-GB"/>
        </w:rPr>
        <w:t>n RAN</w:t>
      </w:r>
      <w:r>
        <w:rPr>
          <w:rFonts w:hint="eastAsia" w:ascii="Times New Roman" w:hAnsi="Times New Roman"/>
          <w:sz w:val="20"/>
          <w:szCs w:val="20"/>
        </w:rPr>
        <w:t>1#108e</w:t>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REF _Ref32552 \w \h </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the</w:t>
      </w:r>
      <w:r>
        <w:rPr>
          <w:rFonts w:hint="eastAsia" w:ascii="Times New Roman" w:hAnsi="Times New Roman"/>
          <w:sz w:val="20"/>
          <w:szCs w:val="20"/>
        </w:rPr>
        <w:t xml:space="preserve"> following issues are discussed </w:t>
      </w:r>
      <w:r>
        <w:rPr>
          <w:rFonts w:ascii="Times New Roman" w:hAnsi="Times New Roman"/>
          <w:sz w:val="20"/>
          <w:szCs w:val="20"/>
        </w:rPr>
        <w:t>without agreement</w:t>
      </w:r>
      <w:r>
        <w:rPr>
          <w:rFonts w:hint="eastAsia" w:ascii="Times New Roman" w:hAnsi="Times New Roman"/>
          <w:sz w:val="20"/>
          <w:szCs w:val="20"/>
        </w:rPr>
        <w:t>.</w:t>
      </w:r>
    </w:p>
    <w:p>
      <w:pPr>
        <w:numPr>
          <w:ilvl w:val="0"/>
          <w:numId w:val="5"/>
        </w:numPr>
        <w:spacing w:before="120" w:beforeLines="50" w:after="120" w:afterLines="50" w:line="240" w:lineRule="auto"/>
        <w:ind w:left="440" w:leftChars="200"/>
        <w:jc w:val="both"/>
        <w:rPr>
          <w:rFonts w:ascii="Times New Roman" w:hAnsi="Times New Roman"/>
          <w:sz w:val="20"/>
          <w:szCs w:val="20"/>
        </w:rPr>
      </w:pPr>
      <w:r>
        <w:rPr>
          <w:rFonts w:hint="eastAsia" w:ascii="Times New Roman" w:hAnsi="Times New Roman"/>
          <w:sz w:val="20"/>
          <w:szCs w:val="20"/>
        </w:rPr>
        <w:t>Details of uplink segment gaps as agreed in RAN1#107-e</w:t>
      </w:r>
    </w:p>
    <w:p>
      <w:pPr>
        <w:numPr>
          <w:ilvl w:val="0"/>
          <w:numId w:val="5"/>
        </w:numPr>
        <w:spacing w:before="120" w:beforeLines="50" w:after="120" w:afterLines="50" w:line="240" w:lineRule="auto"/>
        <w:ind w:left="440" w:leftChars="200"/>
        <w:jc w:val="both"/>
        <w:rPr>
          <w:rFonts w:ascii="Times New Roman" w:hAnsi="Times New Roman"/>
          <w:sz w:val="20"/>
          <w:szCs w:val="20"/>
        </w:rPr>
      </w:pPr>
      <w:r>
        <w:rPr>
          <w:rFonts w:hint="eastAsia" w:ascii="Times New Roman" w:hAnsi="Times New Roman"/>
          <w:sz w:val="20"/>
          <w:szCs w:val="20"/>
        </w:rPr>
        <w:t>Ambiguity issue of implicit epoch time indication</w:t>
      </w:r>
    </w:p>
    <w:p>
      <w:pPr>
        <w:spacing w:before="120" w:beforeLines="50" w:after="120" w:afterLines="50" w:line="240" w:lineRule="auto"/>
        <w:ind w:left="440" w:leftChars="200"/>
        <w:jc w:val="both"/>
        <w:rPr>
          <w:rFonts w:ascii="Times New Roman" w:hAnsi="Times New Roman"/>
          <w:sz w:val="20"/>
          <w:szCs w:val="20"/>
        </w:rPr>
      </w:pPr>
      <w:r>
        <w:rPr>
          <w:rFonts w:ascii="Times New Roman" w:hAnsi="Times New Roman"/>
          <w:sz w:val="20"/>
          <w:szCs w:val="20"/>
        </w:rPr>
        <w:t>In this contribution, views on the</w:t>
      </w:r>
      <w:r>
        <w:rPr>
          <w:rFonts w:hint="eastAsia" w:ascii="Times New Roman" w:hAnsi="Times New Roman"/>
          <w:sz w:val="20"/>
          <w:szCs w:val="20"/>
        </w:rPr>
        <w:t xml:space="preserve"> above issues </w:t>
      </w:r>
      <w:r>
        <w:rPr>
          <w:rFonts w:ascii="Times New Roman" w:hAnsi="Times New Roman"/>
          <w:sz w:val="20"/>
          <w:szCs w:val="20"/>
        </w:rPr>
        <w:t xml:space="preserve">are elaborated with corresponding analysis. </w:t>
      </w:r>
    </w:p>
    <w:p>
      <w:pPr>
        <w:pStyle w:val="2"/>
        <w:keepNext w:val="0"/>
        <w:keepLines w:val="0"/>
        <w:widowControl w:val="0"/>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r>
        <w:rPr>
          <w:rFonts w:hint="eastAsia" w:eastAsia="黑体" w:cs="Times New Roman"/>
          <w:b/>
          <w:bCs/>
          <w:sz w:val="28"/>
          <w:szCs w:val="30"/>
          <w:lang w:val="en-US"/>
        </w:rPr>
        <w:t>Uplink segment gap</w:t>
      </w:r>
    </w:p>
    <w:p>
      <w:pPr>
        <w:numPr>
          <w:ilvl w:val="7"/>
          <w:numId w:val="0"/>
        </w:numPr>
        <w:spacing w:after="120"/>
        <w:ind w:left="440" w:leftChars="200"/>
        <w:rPr>
          <w:rFonts w:ascii="Times New Roman" w:hAnsi="Times New Roman" w:eastAsia="宋体" w:cs="Times New Roman"/>
          <w:sz w:val="20"/>
          <w:szCs w:val="20"/>
        </w:rPr>
      </w:pPr>
      <w:r>
        <w:rPr>
          <w:rFonts w:hint="eastAsia" w:ascii="Times New Roman" w:hAnsi="Times New Roman" w:eastAsia="宋体" w:cs="Times New Roman"/>
          <w:sz w:val="20"/>
          <w:szCs w:val="20"/>
        </w:rPr>
        <w:t xml:space="preserve">In RAN1#107e </w:t>
      </w: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REF _Ref1095 \w \h </w:instrText>
      </w:r>
      <w:r>
        <w:rPr>
          <w:rFonts w:hint="eastAsia" w:ascii="Times New Roman" w:hAnsi="Times New Roman" w:eastAsia="宋体" w:cs="Times New Roman"/>
          <w:sz w:val="20"/>
          <w:szCs w:val="20"/>
        </w:rPr>
        <w:fldChar w:fldCharType="separate"/>
      </w:r>
      <w:r>
        <w:rPr>
          <w:rFonts w:hint="eastAsia" w:ascii="Times New Roman" w:hAnsi="Times New Roman" w:eastAsia="宋体" w:cs="Times New Roman"/>
          <w:sz w:val="20"/>
          <w:szCs w:val="20"/>
        </w:rPr>
        <w:t>[2]</w:t>
      </w:r>
      <w:r>
        <w:rPr>
          <w:rFonts w:hint="eastAsia" w:ascii="Times New Roman" w:hAnsi="Times New Roman" w:eastAsia="宋体" w:cs="Times New Roman"/>
          <w:sz w:val="20"/>
          <w:szCs w:val="20"/>
        </w:rPr>
        <w:fldChar w:fldCharType="end"/>
      </w:r>
      <w:r>
        <w:rPr>
          <w:rFonts w:hint="eastAsia" w:ascii="Times New Roman" w:hAnsi="Times New Roman" w:eastAsia="宋体" w:cs="Times New Roman"/>
          <w:sz w:val="20"/>
          <w:szCs w:val="20"/>
        </w:rPr>
        <w:t>, how to apply different TA</w:t>
      </w:r>
      <w:r>
        <w:rPr>
          <w:rFonts w:ascii="Times New Roman" w:hAnsi="Times New Roman" w:eastAsia="宋体" w:cs="Times New Roman"/>
          <w:sz w:val="20"/>
          <w:szCs w:val="20"/>
        </w:rPr>
        <w:t>s</w:t>
      </w:r>
      <w:r>
        <w:rPr>
          <w:rFonts w:hint="eastAsia" w:ascii="Times New Roman" w:hAnsi="Times New Roman" w:eastAsia="宋体" w:cs="Times New Roman"/>
          <w:sz w:val="20"/>
          <w:szCs w:val="20"/>
        </w:rPr>
        <w:t xml:space="preserve"> for different segments was discussed </w:t>
      </w:r>
      <w:r>
        <w:rPr>
          <w:rFonts w:ascii="Times New Roman" w:hAnsi="Times New Roman" w:eastAsia="宋体" w:cs="Times New Roman"/>
          <w:sz w:val="20"/>
          <w:szCs w:val="20"/>
        </w:rPr>
        <w:t>with</w:t>
      </w:r>
      <w:r>
        <w:rPr>
          <w:rFonts w:hint="eastAsia" w:ascii="Times New Roman" w:hAnsi="Times New Roman" w:eastAsia="宋体" w:cs="Times New Roman"/>
          <w:sz w:val="20"/>
          <w:szCs w:val="20"/>
        </w:rPr>
        <w:t xml:space="preserve"> multiple methods as shown in </w:t>
      </w:r>
      <w:r>
        <w:rPr>
          <w:rFonts w:ascii="Times New Roman" w:hAnsi="Times New Roman" w:eastAsia="宋体" w:cs="Times New Roman"/>
          <w:sz w:val="20"/>
          <w:szCs w:val="20"/>
        </w:rPr>
        <w:t xml:space="preserve">the </w:t>
      </w:r>
      <w:r>
        <w:rPr>
          <w:rFonts w:hint="eastAsia" w:ascii="Times New Roman" w:hAnsi="Times New Roman" w:eastAsia="宋体" w:cs="Times New Roman"/>
          <w:sz w:val="20"/>
          <w:szCs w:val="20"/>
        </w:rPr>
        <w:t>agreement</w:t>
      </w:r>
      <w:r>
        <w:rPr>
          <w:rFonts w:ascii="Times New Roman" w:hAnsi="Times New Roman" w:eastAsia="宋体" w:cs="Times New Roman"/>
          <w:sz w:val="20"/>
          <w:szCs w:val="20"/>
        </w:rPr>
        <w:t xml:space="preserve"> below</w:t>
      </w:r>
      <w:r>
        <w:rPr>
          <w:rFonts w:hint="eastAsia" w:ascii="Times New Roman" w:hAnsi="Times New Roman" w:eastAsia="宋体" w:cs="Times New Roman"/>
          <w:sz w:val="20"/>
          <w:szCs w:val="20"/>
        </w:rPr>
        <w:t xml:space="preserve">. </w:t>
      </w:r>
    </w:p>
    <w:p>
      <w:pPr>
        <w:shd w:val="clear" w:color="auto" w:fill="FFFFFF"/>
        <w:spacing w:after="180"/>
        <w:ind w:left="440" w:leftChars="200"/>
        <w:rPr>
          <w:rFonts w:ascii="serif" w:hAnsi="serif" w:eastAsia="serif" w:cs="serif"/>
          <w:i/>
          <w:iCs/>
          <w:color w:val="000000"/>
          <w:sz w:val="24"/>
          <w:szCs w:val="24"/>
        </w:rPr>
      </w:pPr>
      <w:r>
        <w:rPr>
          <w:rFonts w:ascii="Times New Roman" w:hAnsi="Times New Roman" w:eastAsia="serif" w:cs="Times New Roman"/>
          <w:b/>
          <w:bCs/>
          <w:i/>
          <w:iCs/>
          <w:color w:val="000000"/>
          <w:sz w:val="20"/>
          <w:szCs w:val="20"/>
          <w:shd w:val="clear" w:color="auto" w:fill="00FF00"/>
          <w:lang w:bidi="ar"/>
        </w:rPr>
        <w:t>Agreement</w:t>
      </w:r>
    </w:p>
    <w:p>
      <w:pPr>
        <w:shd w:val="clear" w:color="auto" w:fill="FFFFFF"/>
        <w:spacing w:after="180"/>
        <w:ind w:left="440" w:leftChars="200"/>
        <w:rPr>
          <w:rFonts w:ascii="serif" w:hAnsi="serif" w:eastAsia="serif" w:cs="serif"/>
          <w:i/>
          <w:iCs/>
          <w:color w:val="000000"/>
          <w:sz w:val="24"/>
          <w:szCs w:val="24"/>
        </w:rPr>
      </w:pPr>
      <w:r>
        <w:rPr>
          <w:rFonts w:ascii="Times New Roman" w:hAnsi="Times New Roman" w:eastAsia="serif" w:cs="Times New Roman"/>
          <w:i/>
          <w:iCs/>
          <w:color w:val="000000"/>
          <w:sz w:val="20"/>
          <w:szCs w:val="20"/>
          <w:shd w:val="clear" w:color="auto" w:fill="FFFFFF"/>
          <w:lang w:bidi="ar"/>
        </w:rPr>
        <w:t>UE pre-compensation per segment of NPUSCH for NB-IoT and PUSCH/PUCCH for eMTC is applied from one segment to the next segment by using one or more of the following methods if supported by UE implementation</w:t>
      </w:r>
    </w:p>
    <w:p>
      <w:pPr>
        <w:shd w:val="clear" w:color="auto" w:fill="FFFFFF"/>
        <w:spacing w:after="0"/>
        <w:ind w:left="440" w:leftChars="200"/>
        <w:rPr>
          <w:rFonts w:ascii="serif" w:hAnsi="serif" w:eastAsia="serif" w:cs="serif"/>
          <w:i/>
          <w:iCs/>
          <w:color w:val="000000"/>
          <w:sz w:val="24"/>
          <w:szCs w:val="24"/>
        </w:rPr>
      </w:pPr>
      <w:r>
        <w:rPr>
          <w:rFonts w:ascii="Times New Roman" w:hAnsi="Times New Roman" w:eastAsia="serif" w:cs="Times New Roman"/>
          <w:i/>
          <w:iCs/>
          <w:color w:val="000000"/>
          <w:sz w:val="20"/>
          <w:szCs w:val="20"/>
          <w:shd w:val="clear" w:color="auto" w:fill="FFFFFF"/>
          <w:lang w:bidi="ar"/>
        </w:rPr>
        <w:t>1. UE may drop / Insert samples / Puncture OFDM symbols </w:t>
      </w:r>
    </w:p>
    <w:p>
      <w:pPr>
        <w:shd w:val="clear" w:color="auto" w:fill="FFFFFF"/>
        <w:spacing w:after="0"/>
        <w:ind w:left="440" w:leftChars="200"/>
        <w:rPr>
          <w:rFonts w:ascii="serif" w:hAnsi="serif" w:eastAsia="serif" w:cs="serif"/>
          <w:i/>
          <w:iCs/>
          <w:color w:val="000000"/>
          <w:sz w:val="24"/>
          <w:szCs w:val="24"/>
        </w:rPr>
      </w:pPr>
      <w:r>
        <w:rPr>
          <w:rFonts w:ascii="Times New Roman" w:hAnsi="Times New Roman" w:eastAsia="serif" w:cs="Times New Roman"/>
          <w:i/>
          <w:iCs/>
          <w:color w:val="000000"/>
          <w:sz w:val="20"/>
          <w:szCs w:val="20"/>
          <w:shd w:val="clear" w:color="auto" w:fill="FFFFFF"/>
          <w:lang w:bidi="ar"/>
        </w:rPr>
        <w:t>2. UE may blank subframes / slots where UE skip a slot or a subframe</w:t>
      </w:r>
    </w:p>
    <w:p>
      <w:pPr>
        <w:shd w:val="clear" w:color="auto" w:fill="FFFFFF"/>
        <w:spacing w:after="180"/>
        <w:ind w:left="440" w:leftChars="200"/>
        <w:rPr>
          <w:rFonts w:ascii="serif" w:hAnsi="serif" w:eastAsia="serif" w:cs="serif"/>
          <w:i/>
          <w:iCs/>
          <w:color w:val="000000"/>
          <w:sz w:val="24"/>
          <w:szCs w:val="24"/>
        </w:rPr>
      </w:pPr>
      <w:r>
        <w:rPr>
          <w:rFonts w:ascii="Times New Roman" w:hAnsi="Times New Roman" w:eastAsia="serif" w:cs="Times New Roman"/>
          <w:i/>
          <w:iCs/>
          <w:color w:val="000000"/>
          <w:sz w:val="20"/>
          <w:szCs w:val="20"/>
          <w:shd w:val="clear" w:color="auto" w:fill="FFFFFF"/>
          <w:lang w:bidi="ar"/>
        </w:rPr>
        <w:t>The total transmission time is not changed</w:t>
      </w:r>
    </w:p>
    <w:p>
      <w:pPr>
        <w:shd w:val="clear" w:color="auto" w:fill="FFFFFF"/>
        <w:spacing w:after="180"/>
        <w:ind w:left="440" w:leftChars="200"/>
        <w:rPr>
          <w:rFonts w:ascii="serif" w:hAnsi="serif" w:eastAsia="serif" w:cs="serif"/>
          <w:i/>
          <w:iCs/>
          <w:color w:val="000000"/>
          <w:sz w:val="24"/>
          <w:szCs w:val="24"/>
        </w:rPr>
      </w:pPr>
      <w:r>
        <w:rPr>
          <w:rFonts w:ascii="Times New Roman" w:hAnsi="Times New Roman" w:eastAsia="serif" w:cs="Times New Roman"/>
          <w:i/>
          <w:iCs/>
          <w:color w:val="000000"/>
          <w:sz w:val="20"/>
          <w:szCs w:val="20"/>
          <w:shd w:val="clear" w:color="auto" w:fill="FFFFFF"/>
          <w:lang w:bidi="ar"/>
        </w:rPr>
        <w:t>UE autonomously Drop / insert samples / Puncture OFDM symbols or Blank subframes / slots where UE drops a subframe / slot</w:t>
      </w:r>
    </w:p>
    <w:p>
      <w:pPr>
        <w:shd w:val="clear" w:color="auto" w:fill="FFFFFF"/>
        <w:spacing w:after="180"/>
        <w:ind w:left="440" w:leftChars="200"/>
        <w:rPr>
          <w:rFonts w:ascii="Times New Roman" w:hAnsi="Times New Roman" w:eastAsia="serif" w:cs="Times New Roman"/>
          <w:i/>
          <w:iCs/>
          <w:color w:val="000000"/>
          <w:sz w:val="20"/>
          <w:szCs w:val="20"/>
          <w:shd w:val="clear" w:color="auto" w:fill="FFFFFF"/>
          <w:lang w:bidi="ar"/>
        </w:rPr>
      </w:pPr>
      <w:r>
        <w:rPr>
          <w:rFonts w:ascii="Times New Roman" w:hAnsi="Times New Roman" w:eastAsia="serif" w:cs="Times New Roman"/>
          <w:i/>
          <w:iCs/>
          <w:color w:val="000000"/>
          <w:sz w:val="20"/>
          <w:szCs w:val="20"/>
          <w:shd w:val="clear" w:color="auto" w:fill="FFFFFF"/>
          <w:lang w:bidi="ar"/>
        </w:rPr>
        <w:t>The method used for the UE pre-compensation is known to the eNB by a single UE capability</w:t>
      </w:r>
    </w:p>
    <w:p>
      <w:pPr>
        <w:shd w:val="clear" w:color="auto" w:fill="FFFFFF"/>
        <w:spacing w:after="180"/>
        <w:ind w:left="440" w:leftChars="200"/>
        <w:rPr>
          <w:rFonts w:ascii="serif" w:hAnsi="serif" w:eastAsia="serif" w:cs="serif"/>
          <w:i/>
          <w:iCs/>
          <w:sz w:val="24"/>
          <w:szCs w:val="24"/>
        </w:rPr>
      </w:pPr>
      <w:r>
        <w:rPr>
          <w:rFonts w:ascii="Times New Roman" w:hAnsi="Times New Roman" w:eastAsia="serif" w:cs="Times New Roman"/>
          <w:i/>
          <w:iCs/>
          <w:color w:val="000000"/>
          <w:sz w:val="20"/>
          <w:szCs w:val="20"/>
          <w:shd w:val="clear" w:color="auto" w:fill="FFFFFF"/>
        </w:rPr>
        <w:t>UE Blank subframes / slots where UE skip a slot or a subframe (slot is based on Sub Carrier Spacing)</w:t>
      </w:r>
    </w:p>
    <w:p>
      <w:pPr>
        <w:shd w:val="clear" w:color="auto" w:fill="FFFFFF"/>
        <w:spacing w:after="180"/>
        <w:ind w:left="440" w:leftChars="200"/>
        <w:rPr>
          <w:rFonts w:ascii="Times New Roman" w:hAnsi="Times New Roman" w:eastAsia="serif" w:cs="Times New Roman"/>
          <w:i/>
          <w:iCs/>
          <w:color w:val="000000"/>
          <w:sz w:val="20"/>
          <w:szCs w:val="20"/>
          <w:shd w:val="clear" w:color="auto" w:fill="FFFFFF"/>
          <w:lang w:bidi="ar"/>
        </w:rPr>
      </w:pPr>
      <w:r>
        <w:rPr>
          <w:rFonts w:ascii="Times New Roman" w:hAnsi="Times New Roman" w:eastAsia="serif" w:cs="Times New Roman"/>
          <w:i/>
          <w:iCs/>
          <w:color w:val="000000"/>
          <w:sz w:val="20"/>
          <w:szCs w:val="20"/>
          <w:shd w:val="clear" w:color="auto" w:fill="FFFFFF"/>
          <w:lang w:bidi="ar"/>
        </w:rPr>
        <w:t>FFS Details of method(s) to drop / insert samples, blanking subframes / slots (slot is based on Sub Carrier Spacing)</w:t>
      </w:r>
    </w:p>
    <w:p>
      <w:pPr>
        <w:numPr>
          <w:ilvl w:val="1"/>
          <w:numId w:val="1"/>
        </w:numPr>
        <w:spacing w:after="120"/>
        <w:rPr>
          <w:rFonts w:ascii="Times New Roman" w:hAnsi="Times New Roman" w:eastAsia="宋体" w:cs="Times New Roman"/>
          <w:sz w:val="24"/>
          <w:szCs w:val="24"/>
        </w:rPr>
      </w:pPr>
      <w:r>
        <w:rPr>
          <w:rFonts w:ascii="Times New Roman" w:hAnsi="Times New Roman" w:eastAsia="宋体" w:cs="Times New Roman"/>
          <w:sz w:val="24"/>
          <w:szCs w:val="24"/>
        </w:rPr>
        <w:t>Segmented pre-compensation</w:t>
      </w:r>
    </w:p>
    <w:p>
      <w:pPr>
        <w:numPr>
          <w:ilvl w:val="7"/>
          <w:numId w:val="0"/>
        </w:numPr>
        <w:spacing w:after="120"/>
        <w:ind w:left="440" w:leftChars="200"/>
        <w:rPr>
          <w:rFonts w:ascii="Times New Roman" w:hAnsi="Times New Roman" w:eastAsia="宋体" w:cs="Times New Roman"/>
          <w:sz w:val="20"/>
          <w:szCs w:val="20"/>
        </w:rPr>
      </w:pPr>
      <w:r>
        <w:rPr>
          <w:rFonts w:hint="eastAsia" w:ascii="Times New Roman" w:hAnsi="Times New Roman" w:eastAsia="宋体" w:cs="Times New Roman"/>
          <w:sz w:val="20"/>
          <w:szCs w:val="20"/>
        </w:rPr>
        <w:t>Firstly, it should be noted that there is following statement in legacy specification.</w:t>
      </w:r>
    </w:p>
    <w:p>
      <w:pPr>
        <w:shd w:val="clear" w:color="auto" w:fill="FFFFFF"/>
        <w:spacing w:after="180"/>
        <w:ind w:left="440" w:leftChars="200"/>
        <w:rPr>
          <w:rFonts w:ascii="Times New Roman" w:hAnsi="Times New Roman" w:eastAsia="serif" w:cs="Times New Roman"/>
          <w:b/>
          <w:bCs/>
          <w:i/>
          <w:iCs/>
          <w:color w:val="000000"/>
          <w:sz w:val="20"/>
          <w:szCs w:val="20"/>
          <w:shd w:val="clear" w:color="auto" w:fill="00FF00"/>
          <w:lang w:bidi="ar"/>
        </w:rPr>
      </w:pPr>
      <w:r>
        <w:rPr>
          <w:rFonts w:hint="eastAsia" w:ascii="Times New Roman" w:hAnsi="Times New Roman" w:eastAsia="serif" w:cs="Times New Roman"/>
          <w:b/>
          <w:bCs/>
          <w:i/>
          <w:iCs/>
          <w:color w:val="000000"/>
          <w:sz w:val="20"/>
          <w:szCs w:val="20"/>
          <w:shd w:val="clear" w:color="auto" w:fill="00FF00"/>
          <w:lang w:bidi="ar"/>
        </w:rPr>
        <w:t>[</w:t>
      </w:r>
      <w:r>
        <w:rPr>
          <w:rFonts w:ascii="Times New Roman" w:hAnsi="Times New Roman" w:eastAsia="serif" w:cs="Times New Roman"/>
          <w:b/>
          <w:bCs/>
          <w:i/>
          <w:iCs/>
          <w:color w:val="000000"/>
          <w:sz w:val="20"/>
          <w:szCs w:val="20"/>
          <w:shd w:val="clear" w:color="auto" w:fill="00FF00"/>
          <w:lang w:bidi="ar"/>
        </w:rPr>
        <w:t xml:space="preserve">3GPP TS 36.133 V16.8.0, Section 7.20.2] </w:t>
      </w:r>
    </w:p>
    <w:p>
      <w:pPr>
        <w:shd w:val="clear" w:color="auto" w:fill="FFFFFF"/>
        <w:spacing w:after="180"/>
        <w:ind w:left="440" w:leftChars="200"/>
        <w:rPr>
          <w:rFonts w:ascii="Times New Roman" w:hAnsi="Times New Roman" w:eastAsia="宋体" w:cs="Times New Roman"/>
          <w:i/>
          <w:iCs/>
          <w:color w:val="000000"/>
          <w:sz w:val="20"/>
          <w:szCs w:val="20"/>
          <w:shd w:val="clear" w:color="auto" w:fill="FFFFFF"/>
        </w:rPr>
      </w:pPr>
      <w:r>
        <w:rPr>
          <w:rFonts w:ascii="Times New Roman" w:hAnsi="Times New Roman" w:eastAsia="serif" w:cs="Times New Roman"/>
          <w:i/>
          <w:iCs/>
          <w:color w:val="000000"/>
          <w:sz w:val="20"/>
          <w:szCs w:val="20"/>
          <w:shd w:val="clear" w:color="auto" w:fill="FFFFFF"/>
        </w:rPr>
        <w:t>When a repetition period is configured on the uplink for which R&gt;1, the UE shall not adjust the uplink transmission timing autonomously during an ongoing repetition period other than at initial transmission as defined above</w:t>
      </w:r>
      <w:r>
        <w:rPr>
          <w:rFonts w:hint="eastAsia" w:ascii="Times New Roman" w:hAnsi="Times New Roman" w:eastAsia="宋体" w:cs="Times New Roman"/>
          <w:i/>
          <w:iCs/>
          <w:color w:val="000000"/>
          <w:sz w:val="20"/>
          <w:szCs w:val="20"/>
          <w:shd w:val="clear" w:color="auto" w:fill="FFFFFF"/>
        </w:rPr>
        <w:t>.</w:t>
      </w:r>
    </w:p>
    <w:p>
      <w:pPr>
        <w:numPr>
          <w:ilvl w:val="7"/>
          <w:numId w:val="0"/>
        </w:numPr>
        <w:spacing w:after="120"/>
        <w:ind w:left="440" w:leftChars="200"/>
        <w:rPr>
          <w:rFonts w:ascii="Times New Roman" w:hAnsi="Times New Roman" w:eastAsia="宋体" w:cs="Times New Roman"/>
          <w:sz w:val="20"/>
          <w:szCs w:val="20"/>
        </w:rPr>
      </w:pPr>
      <w:r>
        <w:rPr>
          <w:rFonts w:hint="eastAsia" w:ascii="Times New Roman" w:hAnsi="Times New Roman" w:eastAsia="宋体" w:cs="Times New Roman"/>
          <w:sz w:val="20"/>
          <w:szCs w:val="20"/>
        </w:rPr>
        <w:t>That is, the applied TA is not allowed to be adjusted during repetition of same PUSCH or NPUSCH. However, the TA may drift fast in NTN due to high satellite mobility. If the repetition number is large, the TA error may exceed tolerance before finishing the ongoing repetition period, which leads to loss of UL synchronization. Hence, UE should be allowed to adjust the pre-compensated TA per segment to avoid too large timing error. And the details of how to apply the segment pre-compensation should be captured in the specification.</w:t>
      </w:r>
    </w:p>
    <w:p>
      <w:pPr>
        <w:numPr>
          <w:ilvl w:val="3"/>
          <w:numId w:val="0"/>
        </w:numPr>
        <w:spacing w:after="120"/>
        <w:ind w:left="440" w:leftChars="200"/>
        <w:rPr>
          <w:rFonts w:ascii="Times New Roman" w:hAnsi="Times New Roman" w:eastAsia="宋体" w:cs="Times New Roman"/>
          <w:sz w:val="20"/>
          <w:szCs w:val="20"/>
        </w:rPr>
      </w:pPr>
      <w:r>
        <w:rPr>
          <w:rFonts w:ascii="Times New Roman" w:hAnsi="Times New Roman" w:eastAsia="宋体"/>
          <w:b/>
          <w:i/>
          <w:sz w:val="20"/>
          <w:szCs w:val="20"/>
        </w:rPr>
        <w:t>Proposal</w:t>
      </w:r>
      <w:r>
        <w:rPr>
          <w:rFonts w:hint="eastAsia" w:ascii="Times New Roman" w:hAnsi="Times New Roman" w:eastAsia="宋体"/>
          <w:b/>
          <w:i/>
          <w:sz w:val="20"/>
          <w:szCs w:val="20"/>
        </w:rPr>
        <w:t xml:space="preserve"> 1: </w:t>
      </w:r>
      <w:r>
        <w:rPr>
          <w:rFonts w:hint="eastAsia" w:ascii="Times New Roman" w:hAnsi="Times New Roman" w:eastAsia="宋体" w:cs="Times New Roman"/>
          <w:i/>
          <w:sz w:val="20"/>
          <w:szCs w:val="20"/>
        </w:rPr>
        <w:t>The details of how to apply the segment pre-compensation should be captured in the specification</w:t>
      </w:r>
      <w:r>
        <w:rPr>
          <w:rFonts w:hint="eastAsia" w:ascii="Times New Roman" w:hAnsi="Times New Roman" w:cs="Times New Roman"/>
          <w:i/>
          <w:sz w:val="20"/>
          <w:szCs w:val="20"/>
        </w:rPr>
        <w:t>.</w:t>
      </w:r>
    </w:p>
    <w:p>
      <w:pPr>
        <w:numPr>
          <w:ilvl w:val="7"/>
          <w:numId w:val="0"/>
        </w:numPr>
        <w:spacing w:after="120"/>
        <w:ind w:left="440" w:leftChars="200"/>
        <w:rPr>
          <w:rFonts w:ascii="Times New Roman" w:hAnsi="Times New Roman" w:eastAsia="宋体" w:cs="Times New Roman"/>
          <w:sz w:val="20"/>
          <w:szCs w:val="20"/>
        </w:rPr>
      </w:pPr>
      <w:r>
        <w:rPr>
          <w:rFonts w:hint="eastAsia" w:ascii="Times New Roman" w:hAnsi="Times New Roman" w:eastAsia="宋体" w:cs="Times New Roman"/>
          <w:sz w:val="20"/>
          <w:szCs w:val="20"/>
        </w:rPr>
        <w:t>In order to ensure the segment pre-compensation is supported in RAN1 spec, the TPs in the following proposal should be captured in TS 36.213 to illustrate how UE perform segment pre-compensation for (N)PUSCH and (N)PRACH in NB-IoT and eMTC.</w:t>
      </w:r>
    </w:p>
    <w:p>
      <w:pPr>
        <w:numPr>
          <w:ilvl w:val="3"/>
          <w:numId w:val="0"/>
        </w:numPr>
        <w:spacing w:after="120"/>
        <w:ind w:left="440" w:leftChars="200"/>
        <w:rPr>
          <w:rFonts w:ascii="Times New Roman" w:hAnsi="Times New Roman" w:eastAsia="宋体" w:cs="Times New Roman"/>
          <w:sz w:val="20"/>
          <w:szCs w:val="20"/>
        </w:rPr>
      </w:pPr>
      <w:r>
        <w:rPr>
          <w:rFonts w:ascii="Times New Roman" w:hAnsi="Times New Roman" w:eastAsia="宋体"/>
          <w:b/>
          <w:i/>
          <w:sz w:val="20"/>
          <w:szCs w:val="20"/>
        </w:rPr>
        <w:t>Proposal</w:t>
      </w:r>
      <w:r>
        <w:rPr>
          <w:rFonts w:hint="eastAsia" w:ascii="Times New Roman" w:hAnsi="Times New Roman" w:eastAsia="宋体"/>
          <w:b/>
          <w:i/>
          <w:sz w:val="20"/>
          <w:szCs w:val="20"/>
        </w:rPr>
        <w:t xml:space="preserve"> 2: </w:t>
      </w:r>
      <w:r>
        <w:rPr>
          <w:rFonts w:hint="eastAsia" w:ascii="Times New Roman" w:hAnsi="Times New Roman" w:eastAsia="宋体" w:cs="Times New Roman"/>
          <w:i/>
          <w:sz w:val="20"/>
          <w:szCs w:val="20"/>
        </w:rPr>
        <w:t>Adopt following TPs in TS 36.213 to ensure the support of segment pre-compensation</w:t>
      </w:r>
      <w:r>
        <w:rPr>
          <w:rFonts w:hint="eastAsia" w:ascii="Times New Roman" w:hAnsi="Times New Roman" w:cs="Times New Roman"/>
          <w:i/>
          <w:sz w:val="20"/>
          <w:szCs w:val="20"/>
        </w:rPr>
        <w:t>.</w:t>
      </w:r>
    </w:p>
    <w:p>
      <w:pPr>
        <w:pStyle w:val="49"/>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w:t>
      </w:r>
      <w:r>
        <w:rPr>
          <w:rFonts w:hint="eastAsia" w:ascii="Times New Roman" w:hAnsi="Times New Roman"/>
          <w:b/>
          <w:bCs/>
          <w:i/>
          <w:iCs/>
          <w:color w:val="C00000"/>
          <w:sz w:val="20"/>
          <w:szCs w:val="20"/>
          <w:shd w:val="clear" w:color="auto" w:fill="FFFF00"/>
        </w:rPr>
        <w:t>1</w:t>
      </w:r>
      <w:r>
        <w:rPr>
          <w:rFonts w:ascii="Times New Roman" w:hAnsi="Times New Roman"/>
          <w:b/>
          <w:bCs/>
          <w:i/>
          <w:iCs/>
          <w:color w:val="C00000"/>
          <w:sz w:val="20"/>
          <w:szCs w:val="20"/>
          <w:shd w:val="clear" w:color="auto" w:fill="FFFF00"/>
        </w:rPr>
        <w:t xml:space="preserve">, Section </w:t>
      </w:r>
      <w:r>
        <w:rPr>
          <w:rFonts w:hint="eastAsia" w:ascii="Times New Roman" w:hAnsi="Times New Roman"/>
          <w:b/>
          <w:bCs/>
          <w:i/>
          <w:iCs/>
          <w:color w:val="C00000"/>
          <w:sz w:val="20"/>
          <w:szCs w:val="20"/>
          <w:shd w:val="clear" w:color="auto" w:fill="FFFF00"/>
        </w:rPr>
        <w:t>4.2.3</w:t>
      </w:r>
      <w:r>
        <w:rPr>
          <w:rFonts w:ascii="Times New Roman" w:hAnsi="Times New Roman"/>
          <w:b/>
          <w:bCs/>
          <w:i/>
          <w:iCs/>
          <w:color w:val="C00000"/>
          <w:sz w:val="20"/>
          <w:szCs w:val="20"/>
          <w:shd w:val="clear" w:color="auto" w:fill="FFFF00"/>
        </w:rPr>
        <w:t>, TS 36.21</w:t>
      </w:r>
      <w:r>
        <w:rPr>
          <w:rFonts w:hint="eastAsia" w:ascii="Times New Roman" w:hAnsi="Times New Roman"/>
          <w:b/>
          <w:bCs/>
          <w:i/>
          <w:iCs/>
          <w:color w:val="C00000"/>
          <w:sz w:val="20"/>
          <w:szCs w:val="20"/>
          <w:shd w:val="clear" w:color="auto" w:fill="FFFF00"/>
        </w:rPr>
        <w:t>3</w:t>
      </w:r>
      <w:r>
        <w:rPr>
          <w:rFonts w:ascii="Times New Roman" w:hAnsi="Times New Roman"/>
          <w:b/>
          <w:bCs/>
          <w:i/>
          <w:iCs/>
          <w:color w:val="C00000"/>
          <w:sz w:val="20"/>
          <w:szCs w:val="20"/>
          <w:shd w:val="clear" w:color="auto" w:fill="FFFF00"/>
        </w:rPr>
        <w:t>&gt;</w:t>
      </w:r>
    </w:p>
    <w:p>
      <w:pPr>
        <w:pStyle w:val="10"/>
        <w:shd w:val="clear" w:color="auto" w:fill="FFFFFF"/>
        <w:spacing w:beforeAutospacing="0" w:afterAutospacing="0" w:line="240" w:lineRule="atLeast"/>
        <w:ind w:left="440" w:leftChars="200"/>
        <w:rPr>
          <w:rFonts w:ascii="Times New Roman" w:hAnsi="Times New Roman"/>
          <w:i/>
          <w:iCs/>
          <w:sz w:val="20"/>
          <w:szCs w:val="20"/>
        </w:rPr>
      </w:pPr>
      <w:r>
        <w:rPr>
          <w:rFonts w:ascii="Times New Roman" w:hAnsi="Times New Roman"/>
          <w:i/>
          <w:iCs/>
          <w:sz w:val="20"/>
          <w:szCs w:val="20"/>
        </w:rPr>
        <w:t>For a BL/CE UE, if a segment duration is configured by higher layer parameter TransmissionDurationPRACH-r17, the </w:t>
      </w:r>
      <w:r>
        <w:rPr>
          <w:rFonts w:ascii="Times New Roman" w:hAnsi="Times New Roman"/>
          <w:i/>
          <w:iCs/>
          <w:sz w:val="20"/>
          <w:szCs w:val="20"/>
        </w:rPr>
        <w:drawing>
          <wp:inline distT="0" distB="0" distL="114300" distR="114300">
            <wp:extent cx="180975" cy="142875"/>
            <wp:effectExtent l="0" t="0" r="1905" b="1016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6"/>
                    <a:stretch>
                      <a:fillRect/>
                    </a:stretch>
                  </pic:blipFill>
                  <pic:spPr>
                    <a:xfrm>
                      <a:off x="0" y="0"/>
                      <a:ext cx="180975" cy="142875"/>
                    </a:xfrm>
                    <a:prstGeom prst="rect">
                      <a:avLst/>
                    </a:prstGeom>
                    <a:noFill/>
                    <a:ln w="9525">
                      <a:noFill/>
                    </a:ln>
                  </pic:spPr>
                </pic:pic>
              </a:graphicData>
            </a:graphic>
          </wp:inline>
        </w:drawing>
      </w:r>
      <w:r>
        <w:rPr>
          <w:rFonts w:ascii="Times New Roman" w:hAnsi="Times New Roman"/>
          <w:i/>
          <w:iCs/>
          <w:sz w:val="20"/>
          <w:szCs w:val="20"/>
        </w:rPr>
        <w:t> [36.211] shall be adjusted per segment during the transmission of physical random access preamble.</w:t>
      </w:r>
    </w:p>
    <w:p>
      <w:pPr>
        <w:pStyle w:val="10"/>
        <w:shd w:val="clear" w:color="auto" w:fill="FFFFFF"/>
        <w:spacing w:beforeAutospacing="0" w:afterAutospacing="0" w:line="240" w:lineRule="atLeast"/>
        <w:ind w:left="440" w:leftChars="200"/>
        <w:rPr>
          <w:rFonts w:ascii="Times New Roman" w:hAnsi="Times New Roman"/>
          <w:i/>
          <w:iCs/>
          <w:sz w:val="20"/>
          <w:szCs w:val="20"/>
        </w:rPr>
      </w:pPr>
      <w:r>
        <w:rPr>
          <w:rFonts w:ascii="Times New Roman" w:hAnsi="Times New Roman"/>
          <w:i/>
          <w:iCs/>
          <w:sz w:val="20"/>
          <w:szCs w:val="20"/>
        </w:rPr>
        <w:t>For a BL/CE UE, if a segment duration is configured by higher layer parameter TransmissionDurationPUSCH-r17, the </w:t>
      </w:r>
      <w:r>
        <w:rPr>
          <w:rFonts w:ascii="Times New Roman" w:hAnsi="Times New Roman"/>
          <w:i/>
          <w:iCs/>
          <w:sz w:val="20"/>
          <w:szCs w:val="20"/>
        </w:rPr>
        <w:drawing>
          <wp:inline distT="0" distB="0" distL="114300" distR="114300">
            <wp:extent cx="180975" cy="142875"/>
            <wp:effectExtent l="0" t="0" r="1905" b="10160"/>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7"/>
                    <a:stretch>
                      <a:fillRect/>
                    </a:stretch>
                  </pic:blipFill>
                  <pic:spPr>
                    <a:xfrm>
                      <a:off x="0" y="0"/>
                      <a:ext cx="180975" cy="142875"/>
                    </a:xfrm>
                    <a:prstGeom prst="rect">
                      <a:avLst/>
                    </a:prstGeom>
                    <a:noFill/>
                    <a:ln w="9525">
                      <a:noFill/>
                    </a:ln>
                  </pic:spPr>
                </pic:pic>
              </a:graphicData>
            </a:graphic>
          </wp:inline>
        </w:drawing>
      </w:r>
      <w:r>
        <w:rPr>
          <w:rFonts w:ascii="Times New Roman" w:hAnsi="Times New Roman"/>
          <w:i/>
          <w:iCs/>
          <w:sz w:val="20"/>
          <w:szCs w:val="20"/>
        </w:rPr>
        <w:t> [36.211] shall be adjusted per segment during the transmission of physical uplink shared channel.</w:t>
      </w:r>
    </w:p>
    <w:p>
      <w:pPr>
        <w:numPr>
          <w:ilvl w:val="7"/>
          <w:numId w:val="0"/>
        </w:numPr>
        <w:spacing w:after="120"/>
        <w:ind w:left="440" w:leftChars="200"/>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&lt;END TP</w:t>
      </w:r>
      <w:r>
        <w:rPr>
          <w:rFonts w:hint="eastAsia" w:ascii="Times New Roman" w:hAnsi="Times New Roman"/>
          <w:b/>
          <w:bCs/>
          <w:i/>
          <w:iCs/>
          <w:color w:val="C00000"/>
          <w:sz w:val="20"/>
          <w:szCs w:val="20"/>
          <w:shd w:val="clear" w:color="auto" w:fill="FFFF00"/>
        </w:rPr>
        <w:t>1</w:t>
      </w:r>
      <w:r>
        <w:rPr>
          <w:rFonts w:ascii="Times New Roman" w:hAnsi="Times New Roman"/>
          <w:b/>
          <w:bCs/>
          <w:i/>
          <w:iCs/>
          <w:color w:val="C00000"/>
          <w:sz w:val="20"/>
          <w:szCs w:val="20"/>
          <w:shd w:val="clear" w:color="auto" w:fill="FFFF00"/>
        </w:rPr>
        <w:t>&gt;</w:t>
      </w:r>
    </w:p>
    <w:p>
      <w:pPr>
        <w:pStyle w:val="49"/>
        <w:jc w:val="center"/>
        <w:rPr>
          <w:rFonts w:ascii="Times New Roman" w:hAnsi="Times New Roman" w:cs="Times New Roman"/>
          <w:i/>
          <w:iCs/>
          <w:color w:val="000000"/>
          <w:sz w:val="15"/>
          <w:szCs w:val="15"/>
          <w:shd w:val="clear" w:color="auto" w:fill="FFFF00"/>
        </w:rPr>
      </w:pPr>
      <w:r>
        <w:rPr>
          <w:rFonts w:ascii="Times New Roman" w:hAnsi="Times New Roman"/>
          <w:b/>
          <w:bCs/>
          <w:i/>
          <w:iCs/>
          <w:color w:val="C00000"/>
          <w:sz w:val="20"/>
          <w:szCs w:val="20"/>
          <w:shd w:val="clear" w:color="auto" w:fill="FFFF00"/>
        </w:rPr>
        <w:t>&lt;TP</w:t>
      </w:r>
      <w:r>
        <w:rPr>
          <w:rFonts w:hint="eastAsia" w:ascii="Times New Roman" w:hAnsi="Times New Roman"/>
          <w:b/>
          <w:bCs/>
          <w:i/>
          <w:iCs/>
          <w:color w:val="C00000"/>
          <w:sz w:val="20"/>
          <w:szCs w:val="20"/>
          <w:shd w:val="clear" w:color="auto" w:fill="FFFF00"/>
        </w:rPr>
        <w:t>2</w:t>
      </w:r>
      <w:r>
        <w:rPr>
          <w:rFonts w:ascii="Times New Roman" w:hAnsi="Times New Roman"/>
          <w:b/>
          <w:bCs/>
          <w:i/>
          <w:iCs/>
          <w:color w:val="C00000"/>
          <w:sz w:val="20"/>
          <w:szCs w:val="20"/>
          <w:shd w:val="clear" w:color="auto" w:fill="FFFF00"/>
        </w:rPr>
        <w:t xml:space="preserve">, Section </w:t>
      </w:r>
      <w:r>
        <w:rPr>
          <w:rFonts w:hint="eastAsia" w:ascii="Times New Roman" w:hAnsi="Times New Roman"/>
          <w:b/>
          <w:bCs/>
          <w:i/>
          <w:iCs/>
          <w:color w:val="C00000"/>
          <w:sz w:val="20"/>
          <w:szCs w:val="20"/>
          <w:shd w:val="clear" w:color="auto" w:fill="FFFF00"/>
        </w:rPr>
        <w:t>16.1.2</w:t>
      </w:r>
      <w:r>
        <w:rPr>
          <w:rFonts w:ascii="Times New Roman" w:hAnsi="Times New Roman"/>
          <w:b/>
          <w:bCs/>
          <w:i/>
          <w:iCs/>
          <w:color w:val="C00000"/>
          <w:sz w:val="20"/>
          <w:szCs w:val="20"/>
          <w:shd w:val="clear" w:color="auto" w:fill="FFFF00"/>
        </w:rPr>
        <w:t>, TS 36.21</w:t>
      </w:r>
      <w:r>
        <w:rPr>
          <w:rFonts w:hint="eastAsia" w:ascii="Times New Roman" w:hAnsi="Times New Roman"/>
          <w:b/>
          <w:bCs/>
          <w:i/>
          <w:iCs/>
          <w:color w:val="C00000"/>
          <w:sz w:val="20"/>
          <w:szCs w:val="20"/>
          <w:shd w:val="clear" w:color="auto" w:fill="FFFF00"/>
        </w:rPr>
        <w:t>3</w:t>
      </w:r>
      <w:r>
        <w:rPr>
          <w:rFonts w:ascii="Times New Roman" w:hAnsi="Times New Roman"/>
          <w:b/>
          <w:bCs/>
          <w:i/>
          <w:iCs/>
          <w:color w:val="C00000"/>
          <w:sz w:val="20"/>
          <w:szCs w:val="20"/>
          <w:shd w:val="clear" w:color="auto" w:fill="FFFF00"/>
        </w:rPr>
        <w:t>&gt;</w:t>
      </w:r>
    </w:p>
    <w:p>
      <w:pPr>
        <w:pStyle w:val="10"/>
        <w:shd w:val="clear" w:color="auto" w:fill="FFFFFF"/>
        <w:spacing w:beforeAutospacing="0" w:afterAutospacing="0" w:line="240" w:lineRule="atLeast"/>
        <w:ind w:left="440" w:leftChars="200"/>
        <w:rPr>
          <w:rFonts w:ascii="Times New Roman" w:hAnsi="Times New Roman"/>
          <w:i/>
          <w:iCs/>
          <w:sz w:val="20"/>
          <w:szCs w:val="20"/>
        </w:rPr>
      </w:pPr>
      <w:r>
        <w:rPr>
          <w:rFonts w:ascii="Times New Roman" w:hAnsi="Times New Roman"/>
          <w:i/>
          <w:iCs/>
          <w:sz w:val="20"/>
          <w:szCs w:val="20"/>
        </w:rPr>
        <w:t>If a segment duration is configured by higher layer parameter TransmissionDurationNPRACH-NB-r17, the </w:t>
      </w:r>
      <w:r>
        <w:rPr>
          <w:rFonts w:ascii="Times New Roman" w:hAnsi="Times New Roman"/>
          <w:i/>
          <w:iCs/>
          <w:sz w:val="20"/>
          <w:szCs w:val="20"/>
        </w:rPr>
        <w:drawing>
          <wp:inline distT="0" distB="0" distL="114300" distR="114300">
            <wp:extent cx="180975" cy="142875"/>
            <wp:effectExtent l="0" t="0" r="1905" b="10160"/>
            <wp:docPr id="4"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8"/>
                    <pic:cNvPicPr>
                      <a:picLocks noChangeAspect="1"/>
                    </pic:cNvPicPr>
                  </pic:nvPicPr>
                  <pic:blipFill>
                    <a:blip r:embed="rId6"/>
                    <a:stretch>
                      <a:fillRect/>
                    </a:stretch>
                  </pic:blipFill>
                  <pic:spPr>
                    <a:xfrm>
                      <a:off x="0" y="0"/>
                      <a:ext cx="180975" cy="142875"/>
                    </a:xfrm>
                    <a:prstGeom prst="rect">
                      <a:avLst/>
                    </a:prstGeom>
                    <a:noFill/>
                    <a:ln w="9525">
                      <a:noFill/>
                    </a:ln>
                  </pic:spPr>
                </pic:pic>
              </a:graphicData>
            </a:graphic>
          </wp:inline>
        </w:drawing>
      </w:r>
      <w:r>
        <w:rPr>
          <w:rFonts w:ascii="Times New Roman" w:hAnsi="Times New Roman"/>
          <w:i/>
          <w:iCs/>
          <w:sz w:val="20"/>
          <w:szCs w:val="20"/>
        </w:rPr>
        <w:t> [36.211] shall be adjusted per segment during the transmission of narrowband physical random access preamble.</w:t>
      </w:r>
    </w:p>
    <w:p>
      <w:pPr>
        <w:pStyle w:val="10"/>
        <w:shd w:val="clear" w:color="auto" w:fill="FFFFFF"/>
        <w:spacing w:beforeAutospacing="0" w:afterAutospacing="0" w:line="240" w:lineRule="atLeast"/>
        <w:ind w:left="440" w:leftChars="200"/>
        <w:rPr>
          <w:rFonts w:ascii="Times New Roman" w:hAnsi="Times New Roman"/>
          <w:i/>
          <w:iCs/>
          <w:sz w:val="20"/>
          <w:szCs w:val="20"/>
        </w:rPr>
      </w:pPr>
      <w:r>
        <w:rPr>
          <w:rFonts w:ascii="Times New Roman" w:hAnsi="Times New Roman"/>
          <w:i/>
          <w:iCs/>
          <w:sz w:val="20"/>
          <w:szCs w:val="20"/>
        </w:rPr>
        <w:t>If a segment duration is configured by higher layer parameter TransmissionDurationNPUSCH-NB-r17, the </w:t>
      </w:r>
      <w:r>
        <w:rPr>
          <w:rFonts w:ascii="Times New Roman" w:hAnsi="Times New Roman"/>
          <w:i/>
          <w:iCs/>
          <w:sz w:val="20"/>
          <w:szCs w:val="20"/>
        </w:rPr>
        <w:drawing>
          <wp:inline distT="0" distB="0" distL="114300" distR="114300">
            <wp:extent cx="180975" cy="142875"/>
            <wp:effectExtent l="0" t="0" r="1905" b="10160"/>
            <wp:docPr id="1"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9"/>
                    <pic:cNvPicPr>
                      <a:picLocks noChangeAspect="1"/>
                    </pic:cNvPicPr>
                  </pic:nvPicPr>
                  <pic:blipFill>
                    <a:blip r:embed="rId7"/>
                    <a:stretch>
                      <a:fillRect/>
                    </a:stretch>
                  </pic:blipFill>
                  <pic:spPr>
                    <a:xfrm>
                      <a:off x="0" y="0"/>
                      <a:ext cx="180975" cy="142875"/>
                    </a:xfrm>
                    <a:prstGeom prst="rect">
                      <a:avLst/>
                    </a:prstGeom>
                    <a:noFill/>
                    <a:ln w="9525">
                      <a:noFill/>
                    </a:ln>
                  </pic:spPr>
                </pic:pic>
              </a:graphicData>
            </a:graphic>
          </wp:inline>
        </w:drawing>
      </w:r>
      <w:r>
        <w:rPr>
          <w:rFonts w:ascii="Times New Roman" w:hAnsi="Times New Roman"/>
          <w:i/>
          <w:iCs/>
          <w:sz w:val="20"/>
          <w:szCs w:val="20"/>
        </w:rPr>
        <w:t> [36.211] shall be adjusted per segment during the transmission of narrowband physical uplink shared channel.</w:t>
      </w:r>
    </w:p>
    <w:p>
      <w:pPr>
        <w:numPr>
          <w:ilvl w:val="7"/>
          <w:numId w:val="0"/>
        </w:numPr>
        <w:spacing w:after="120"/>
        <w:ind w:left="440" w:leftChars="200"/>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&lt;END TP</w:t>
      </w:r>
      <w:r>
        <w:rPr>
          <w:rFonts w:hint="eastAsia" w:ascii="Times New Roman" w:hAnsi="Times New Roman"/>
          <w:b/>
          <w:bCs/>
          <w:i/>
          <w:iCs/>
          <w:color w:val="C00000"/>
          <w:sz w:val="20"/>
          <w:szCs w:val="20"/>
          <w:shd w:val="clear" w:color="auto" w:fill="FFFF00"/>
        </w:rPr>
        <w:t>2</w:t>
      </w:r>
      <w:r>
        <w:rPr>
          <w:rFonts w:ascii="Times New Roman" w:hAnsi="Times New Roman"/>
          <w:b/>
          <w:bCs/>
          <w:i/>
          <w:iCs/>
          <w:color w:val="C00000"/>
          <w:sz w:val="20"/>
          <w:szCs w:val="20"/>
          <w:shd w:val="clear" w:color="auto" w:fill="FFFF00"/>
        </w:rPr>
        <w:t>&gt;</w:t>
      </w:r>
    </w:p>
    <w:p>
      <w:pPr>
        <w:numPr>
          <w:ilvl w:val="7"/>
          <w:numId w:val="0"/>
        </w:numPr>
        <w:spacing w:after="120"/>
        <w:ind w:left="440" w:leftChars="200"/>
        <w:rPr>
          <w:rFonts w:ascii="Times New Roman" w:hAnsi="Times New Roman" w:eastAsia="宋体" w:cs="Times New Roman"/>
          <w:sz w:val="20"/>
          <w:szCs w:val="20"/>
        </w:rPr>
      </w:pPr>
      <w:r>
        <w:rPr>
          <w:rFonts w:hint="eastAsia" w:ascii="Times New Roman" w:hAnsi="Times New Roman" w:eastAsia="宋体" w:cs="Times New Roman"/>
          <w:sz w:val="20"/>
          <w:szCs w:val="20"/>
        </w:rPr>
        <w:t>Moreover, as described above, TS 36.133 restricts that UE shall not adjust UL timing during an ongoing repetition period, which blocks the application of segment pre-compensation. Hence, an LS to RAN4 is needed to inform the agreement in RAN1 and the requirement of updates on TS 36.133.</w:t>
      </w:r>
    </w:p>
    <w:p>
      <w:pPr>
        <w:numPr>
          <w:ilvl w:val="3"/>
          <w:numId w:val="0"/>
        </w:numPr>
        <w:spacing w:after="120"/>
        <w:ind w:left="440" w:leftChars="200"/>
        <w:rPr>
          <w:rFonts w:ascii="Times New Roman" w:hAnsi="Times New Roman" w:eastAsia="宋体" w:cs="Times New Roman"/>
          <w:sz w:val="20"/>
          <w:szCs w:val="20"/>
        </w:rPr>
      </w:pPr>
      <w:r>
        <w:rPr>
          <w:rFonts w:ascii="Times New Roman" w:hAnsi="Times New Roman" w:eastAsia="宋体"/>
          <w:b/>
          <w:i/>
          <w:sz w:val="20"/>
          <w:szCs w:val="20"/>
        </w:rPr>
        <w:t>Proposal</w:t>
      </w:r>
      <w:r>
        <w:rPr>
          <w:rFonts w:hint="eastAsia" w:ascii="Times New Roman" w:hAnsi="Times New Roman" w:eastAsia="宋体"/>
          <w:b/>
          <w:i/>
          <w:sz w:val="20"/>
          <w:szCs w:val="20"/>
        </w:rPr>
        <w:t xml:space="preserve"> 3: </w:t>
      </w:r>
      <w:r>
        <w:rPr>
          <w:rFonts w:hint="eastAsia" w:ascii="Times New Roman" w:hAnsi="Times New Roman" w:eastAsia="宋体"/>
          <w:bCs/>
          <w:i/>
          <w:sz w:val="20"/>
          <w:szCs w:val="20"/>
        </w:rPr>
        <w:t>An LS to RAN4 is needed to inform the RAN1 required updates on TS 36.133 to support segment pre-compensation, i.e., allow UE to adjust UL timing during an ongoing repetition period at least in NTN.</w:t>
      </w:r>
    </w:p>
    <w:p>
      <w:pPr>
        <w:numPr>
          <w:ilvl w:val="1"/>
          <w:numId w:val="1"/>
        </w:numPr>
        <w:spacing w:after="120"/>
        <w:rPr>
          <w:rFonts w:ascii="Times New Roman" w:hAnsi="Times New Roman" w:eastAsia="宋体" w:cs="Times New Roman"/>
          <w:sz w:val="24"/>
          <w:szCs w:val="24"/>
        </w:rPr>
      </w:pPr>
      <w:r>
        <w:rPr>
          <w:rFonts w:hint="eastAsia" w:ascii="Times New Roman" w:hAnsi="Times New Roman" w:eastAsia="宋体" w:cs="Times New Roman"/>
          <w:sz w:val="24"/>
          <w:szCs w:val="24"/>
        </w:rPr>
        <w:t>Capability indication</w:t>
      </w:r>
    </w:p>
    <w:p>
      <w:pPr>
        <w:numPr>
          <w:ilvl w:val="7"/>
          <w:numId w:val="0"/>
        </w:numPr>
        <w:spacing w:after="120"/>
        <w:ind w:left="440" w:leftChars="200"/>
        <w:rPr>
          <w:rFonts w:ascii="Times New Roman" w:hAnsi="Times New Roman" w:eastAsia="宋体" w:cs="Times New Roman"/>
          <w:sz w:val="20"/>
          <w:szCs w:val="20"/>
        </w:rPr>
      </w:pPr>
      <w:r>
        <w:rPr>
          <w:rFonts w:ascii="Times New Roman" w:hAnsi="Times New Roman" w:eastAsia="宋体" w:cs="Times New Roman"/>
          <w:sz w:val="20"/>
          <w:szCs w:val="20"/>
        </w:rPr>
        <w:t>Regarding the capability discussion, based on the approaches defined above, two options can be considered</w:t>
      </w:r>
      <w:r>
        <w:rPr>
          <w:rFonts w:hint="eastAsia" w:ascii="Times New Roman" w:hAnsi="Times New Roman" w:eastAsia="宋体" w:cs="Times New Roman"/>
          <w:sz w:val="20"/>
          <w:szCs w:val="20"/>
        </w:rPr>
        <w:t>:</w:t>
      </w:r>
    </w:p>
    <w:p>
      <w:pPr>
        <w:numPr>
          <w:ilvl w:val="0"/>
          <w:numId w:val="6"/>
        </w:numPr>
        <w:spacing w:after="120"/>
        <w:rPr>
          <w:rFonts w:ascii="Times New Roman" w:hAnsi="Times New Roman" w:eastAsia="宋体" w:cs="Times New Roman"/>
          <w:sz w:val="20"/>
          <w:szCs w:val="20"/>
        </w:rPr>
      </w:pPr>
      <w:r>
        <w:rPr>
          <w:rFonts w:hint="eastAsia" w:ascii="Times New Roman" w:hAnsi="Times New Roman" w:eastAsia="宋体" w:cs="Times New Roman"/>
          <w:sz w:val="20"/>
          <w:szCs w:val="20"/>
        </w:rPr>
        <w:t>Option-1: Drop samples</w:t>
      </w:r>
    </w:p>
    <w:p>
      <w:pPr>
        <w:spacing w:after="120"/>
        <w:ind w:left="840"/>
        <w:rPr>
          <w:rFonts w:ascii="Times New Roman" w:hAnsi="Times New Roman" w:eastAsia="宋体" w:cs="Times New Roman"/>
          <w:sz w:val="20"/>
          <w:szCs w:val="20"/>
        </w:rPr>
      </w:pPr>
      <w:r>
        <w:rPr>
          <w:rFonts w:ascii="Times New Roman" w:hAnsi="Times New Roman" w:eastAsia="宋体" w:cs="Times New Roman"/>
          <w:sz w:val="20"/>
          <w:szCs w:val="20"/>
        </w:rPr>
        <w:t>In the legacy spec, the UE is assumed to be able to adjust the transmission in case of overlapping as shown below:</w:t>
      </w:r>
    </w:p>
    <w:p>
      <w:pPr>
        <w:shd w:val="clear" w:color="auto" w:fill="FFFFFF"/>
        <w:spacing w:after="180"/>
        <w:ind w:left="880" w:leftChars="400"/>
        <w:rPr>
          <w:rFonts w:ascii="Times New Roman" w:hAnsi="Times New Roman" w:eastAsia="serif" w:cs="Times New Roman"/>
          <w:b/>
          <w:bCs/>
          <w:i/>
          <w:iCs/>
          <w:color w:val="000000"/>
          <w:sz w:val="20"/>
          <w:szCs w:val="20"/>
          <w:shd w:val="clear" w:color="auto" w:fill="00FF00"/>
          <w:lang w:bidi="ar"/>
        </w:rPr>
      </w:pPr>
      <w:r>
        <w:rPr>
          <w:rFonts w:hint="eastAsia" w:ascii="Times New Roman" w:hAnsi="Times New Roman" w:eastAsia="serif" w:cs="Times New Roman"/>
          <w:b/>
          <w:bCs/>
          <w:i/>
          <w:iCs/>
          <w:color w:val="000000"/>
          <w:sz w:val="20"/>
          <w:szCs w:val="20"/>
          <w:shd w:val="clear" w:color="auto" w:fill="00FF00"/>
          <w:lang w:bidi="ar"/>
        </w:rPr>
        <w:t>[Section 16.1.2, TS 36.213]</w:t>
      </w:r>
    </w:p>
    <w:p>
      <w:pPr>
        <w:shd w:val="clear" w:color="auto" w:fill="FFFFFF"/>
        <w:spacing w:after="180"/>
        <w:ind w:left="880" w:leftChars="400"/>
        <w:rPr>
          <w:rFonts w:ascii="Times New Roman" w:hAnsi="Times New Roman" w:eastAsia="serif" w:cs="Times New Roman"/>
          <w:i/>
          <w:iCs/>
          <w:color w:val="000000"/>
          <w:sz w:val="20"/>
          <w:szCs w:val="20"/>
          <w:shd w:val="clear" w:color="auto" w:fill="FFFFFF"/>
        </w:rPr>
      </w:pPr>
      <w:r>
        <w:rPr>
          <w:rFonts w:hint="eastAsia" w:ascii="Times New Roman" w:hAnsi="Times New Roman" w:eastAsia="serif" w:cs="Times New Roman"/>
          <w:i/>
          <w:iCs/>
          <w:color w:val="000000"/>
          <w:sz w:val="20"/>
          <w:szCs w:val="20"/>
          <w:shd w:val="clear" w:color="auto" w:fill="FFFFFF"/>
        </w:rPr>
        <w:t>When the UE's uplink NPUSCH transmissions in NB-IoT uplink slot n and NB-IoT uplink slot n+1 are overlapped due to the timing adjustment, the UE shall complete transmission of NB-IoT uplink slot n and not transmit the overlapped part of NB-IoT uplink slot n+1.</w:t>
      </w:r>
    </w:p>
    <w:p>
      <w:pPr>
        <w:spacing w:after="120"/>
        <w:ind w:left="840"/>
        <w:rPr>
          <w:rFonts w:ascii="Times New Roman" w:hAnsi="Times New Roman" w:eastAsia="宋体" w:cs="Times New Roman"/>
          <w:sz w:val="20"/>
          <w:szCs w:val="20"/>
        </w:rPr>
      </w:pPr>
      <w:r>
        <w:rPr>
          <w:rFonts w:ascii="Times New Roman" w:hAnsi="Times New Roman" w:eastAsia="宋体" w:cs="Times New Roman"/>
          <w:sz w:val="20"/>
          <w:szCs w:val="20"/>
        </w:rPr>
        <w:t xml:space="preserve">However, in NTN, although the above legacy behavior can be applied, the updates on the specification as mentioned 2.1 is also needed. Otherwise, dropping samples to update the transmission timing within the repetition will not be applicable. </w:t>
      </w:r>
    </w:p>
    <w:p>
      <w:pPr>
        <w:numPr>
          <w:ilvl w:val="0"/>
          <w:numId w:val="6"/>
        </w:numPr>
        <w:spacing w:after="120"/>
        <w:rPr>
          <w:rFonts w:ascii="Times New Roman" w:hAnsi="Times New Roman" w:eastAsia="宋体" w:cs="Times New Roman"/>
          <w:sz w:val="20"/>
          <w:szCs w:val="20"/>
        </w:rPr>
      </w:pPr>
      <w:r>
        <w:rPr>
          <w:rFonts w:hint="eastAsia" w:ascii="Times New Roman" w:hAnsi="Times New Roman" w:eastAsia="宋体" w:cs="Times New Roman"/>
          <w:sz w:val="20"/>
          <w:szCs w:val="20"/>
        </w:rPr>
        <w:t>Option-2: Blank symbol/slot/subframe</w:t>
      </w:r>
    </w:p>
    <w:p>
      <w:pPr>
        <w:spacing w:after="120"/>
        <w:ind w:left="840"/>
        <w:rPr>
          <w:rFonts w:ascii="Times New Roman" w:hAnsi="Times New Roman" w:eastAsia="宋体" w:cs="Times New Roman"/>
          <w:sz w:val="20"/>
          <w:szCs w:val="20"/>
        </w:rPr>
      </w:pPr>
      <w:r>
        <w:rPr>
          <w:rFonts w:hint="eastAsia" w:ascii="Times New Roman" w:hAnsi="Times New Roman" w:eastAsia="宋体" w:cs="Times New Roman"/>
          <w:sz w:val="20"/>
          <w:szCs w:val="20"/>
          <w:lang w:val="en-US" w:eastAsia="zh-CN"/>
        </w:rPr>
        <w:t xml:space="preserve">In implementation, since </w:t>
      </w:r>
      <w:r>
        <w:rPr>
          <w:rFonts w:hint="eastAsia" w:ascii="Times New Roman" w:hAnsi="Times New Roman" w:eastAsia="宋体" w:cs="Times New Roman"/>
          <w:sz w:val="20"/>
          <w:szCs w:val="20"/>
        </w:rPr>
        <w:t xml:space="preserve">some UEs are not able to handle the TA adjustment as mentioned </w:t>
      </w:r>
      <w:r>
        <w:rPr>
          <w:rFonts w:hint="eastAsia" w:ascii="Times New Roman" w:hAnsi="Times New Roman" w:eastAsia="宋体" w:cs="Times New Roman"/>
          <w:sz w:val="20"/>
          <w:szCs w:val="20"/>
          <w:lang w:val="en-US" w:eastAsia="zh-CN"/>
        </w:rPr>
        <w:t>in option-1</w:t>
      </w:r>
      <w:r>
        <w:rPr>
          <w:rFonts w:hint="eastAsia" w:ascii="Times New Roman" w:hAnsi="Times New Roman" w:eastAsia="宋体" w:cs="Times New Roman"/>
          <w:sz w:val="20"/>
          <w:szCs w:val="20"/>
        </w:rPr>
        <w:t>,</w:t>
      </w:r>
      <w:r>
        <w:rPr>
          <w:rFonts w:hint="eastAsia" w:ascii="Times New Roman" w:hAnsi="Times New Roman" w:eastAsia="宋体" w:cs="Times New Roman"/>
          <w:sz w:val="20"/>
          <w:szCs w:val="20"/>
          <w:lang w:val="en-US" w:eastAsia="zh-CN"/>
        </w:rPr>
        <w:t xml:space="preserve"> blanking symbol/slot/subframe may be considered due to lower requirement on UE capability. </w:t>
      </w:r>
      <w:r>
        <w:rPr>
          <w:rFonts w:hint="eastAsia" w:ascii="Times New Roman" w:hAnsi="Times New Roman" w:eastAsia="宋体" w:cs="Times New Roman"/>
          <w:sz w:val="20"/>
          <w:szCs w:val="20"/>
        </w:rPr>
        <w:t xml:space="preserve">In this way, potential impacts on the eNB's implementation should be defined with clearly indication (e.g., UE capability). Then eNB can correctly perform UL detection. </w:t>
      </w:r>
    </w:p>
    <w:p>
      <w:pPr>
        <w:numPr>
          <w:ilvl w:val="7"/>
          <w:numId w:val="0"/>
        </w:numPr>
        <w:spacing w:after="120"/>
        <w:ind w:left="440" w:leftChars="200"/>
        <w:rPr>
          <w:rFonts w:ascii="Times New Roman" w:hAnsi="Times New Roman" w:eastAsia="宋体" w:cs="Times New Roman"/>
          <w:sz w:val="20"/>
          <w:szCs w:val="20"/>
        </w:rPr>
      </w:pPr>
      <w:r>
        <w:rPr>
          <w:rFonts w:hint="eastAsia" w:ascii="Times New Roman" w:hAnsi="Times New Roman" w:eastAsia="宋体" w:cs="Times New Roman"/>
          <w:sz w:val="20"/>
          <w:szCs w:val="20"/>
        </w:rPr>
        <w:t xml:space="preserve">In RAN1#108e </w:t>
      </w: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REF _Ref32552 \n \h </w:instrText>
      </w:r>
      <w:r>
        <w:rPr>
          <w:rFonts w:hint="eastAsia" w:ascii="Times New Roman" w:hAnsi="Times New Roman" w:eastAsia="宋体" w:cs="Times New Roman"/>
          <w:sz w:val="20"/>
          <w:szCs w:val="20"/>
        </w:rPr>
        <w:fldChar w:fldCharType="separate"/>
      </w:r>
      <w:r>
        <w:rPr>
          <w:rFonts w:hint="eastAsia" w:ascii="Times New Roman" w:hAnsi="Times New Roman" w:eastAsia="宋体" w:cs="Times New Roman"/>
          <w:sz w:val="20"/>
          <w:szCs w:val="20"/>
        </w:rPr>
        <w:t>[1]</w:t>
      </w:r>
      <w:r>
        <w:rPr>
          <w:rFonts w:hint="eastAsia" w:ascii="Times New Roman" w:hAnsi="Times New Roman" w:eastAsia="宋体" w:cs="Times New Roman"/>
          <w:sz w:val="20"/>
          <w:szCs w:val="20"/>
        </w:rPr>
        <w:fldChar w:fldCharType="end"/>
      </w:r>
      <w:r>
        <w:rPr>
          <w:rFonts w:hint="eastAsia" w:ascii="Times New Roman" w:hAnsi="Times New Roman" w:eastAsia="宋体" w:cs="Times New Roman"/>
          <w:sz w:val="20"/>
          <w:szCs w:val="20"/>
        </w:rPr>
        <w:t xml:space="preserve">, the details of </w:t>
      </w:r>
      <w:r>
        <w:rPr>
          <w:rFonts w:hint="eastAsia" w:ascii="Times New Roman" w:hAnsi="Times New Roman" w:eastAsia="宋体"/>
          <w:sz w:val="20"/>
          <w:szCs w:val="20"/>
        </w:rPr>
        <w:t>above methods</w:t>
      </w:r>
      <w:r>
        <w:rPr>
          <w:rFonts w:hint="eastAsia" w:ascii="Times New Roman" w:hAnsi="Times New Roman" w:eastAsia="宋体" w:cs="Times New Roman"/>
          <w:sz w:val="20"/>
          <w:szCs w:val="20"/>
        </w:rPr>
        <w:t xml:space="preserve"> were discussed but no agreement is achieved since there are different understandings on whether to include option-1 in the UE capability report:</w:t>
      </w:r>
    </w:p>
    <w:p>
      <w:pPr>
        <w:pStyle w:val="29"/>
        <w:numPr>
          <w:ilvl w:val="0"/>
          <w:numId w:val="7"/>
        </w:numPr>
        <w:spacing w:after="120"/>
        <w:ind w:firstLineChars="0"/>
        <w:rPr>
          <w:rFonts w:ascii="Times New Roman" w:hAnsi="Times New Roman" w:eastAsia="宋体" w:cs="Times New Roman"/>
          <w:sz w:val="20"/>
          <w:szCs w:val="20"/>
        </w:rPr>
      </w:pPr>
      <w:r>
        <w:rPr>
          <w:rFonts w:hint="eastAsia" w:ascii="Times New Roman" w:hAnsi="Times New Roman" w:eastAsia="宋体" w:cs="Times New Roman"/>
          <w:sz w:val="20"/>
          <w:szCs w:val="20"/>
        </w:rPr>
        <w:t>Option-1 is regarded as the default behaviour, i.e., no capability report is needed if UE is able to follow legacy TA adjustment method. If the UE cannot support option-1, it will adopt option-2 and report its capability to network.</w:t>
      </w:r>
    </w:p>
    <w:p>
      <w:pPr>
        <w:pStyle w:val="29"/>
        <w:numPr>
          <w:ilvl w:val="0"/>
          <w:numId w:val="7"/>
        </w:numPr>
        <w:spacing w:after="120"/>
        <w:ind w:firstLineChars="0"/>
        <w:rPr>
          <w:rFonts w:ascii="Times New Roman" w:hAnsi="Times New Roman" w:eastAsia="宋体" w:cs="Times New Roman"/>
          <w:sz w:val="20"/>
          <w:szCs w:val="20"/>
        </w:rPr>
      </w:pPr>
      <w:r>
        <w:rPr>
          <w:rFonts w:hint="eastAsia" w:ascii="Times New Roman" w:hAnsi="Times New Roman" w:eastAsia="宋体" w:cs="Times New Roman"/>
          <w:sz w:val="20"/>
          <w:szCs w:val="20"/>
        </w:rPr>
        <w:t xml:space="preserve">Option-1 is regarded as one type of capability, i.e., UE should report capability even if it can follow the legacy TA adjustment method. </w:t>
      </w:r>
    </w:p>
    <w:p>
      <w:pPr>
        <w:numPr>
          <w:ilvl w:val="7"/>
          <w:numId w:val="0"/>
        </w:numPr>
        <w:spacing w:after="120"/>
        <w:ind w:left="440" w:leftChars="200"/>
        <w:rPr>
          <w:rFonts w:ascii="Times New Roman" w:hAnsi="Times New Roman" w:eastAsia="宋体" w:cs="Times New Roman"/>
          <w:sz w:val="20"/>
          <w:szCs w:val="20"/>
        </w:rPr>
      </w:pPr>
      <w:r>
        <w:rPr>
          <w:rFonts w:hint="eastAsia" w:ascii="Times New Roman" w:hAnsi="Times New Roman" w:eastAsia="宋体" w:cs="Times New Roman"/>
          <w:sz w:val="20"/>
          <w:szCs w:val="20"/>
        </w:rPr>
        <w:t>In above two understandings, we prefer the first one since it minimizes the impact on legacy specification. There is no need of signaling if UE can perform segment pre-compensation with the method in option-1, which is similar to the legacy behaviour</w:t>
      </w:r>
      <w:r>
        <w:rPr>
          <w:rStyle w:val="17"/>
          <w:rFonts w:hint="eastAsia"/>
        </w:rPr>
        <w:t xml:space="preserve"> </w:t>
      </w:r>
      <w:r>
        <w:rPr>
          <w:rStyle w:val="17"/>
          <w:rFonts w:ascii="Times New Roman" w:hAnsi="Times New Roman" w:cs="Times New Roman"/>
        </w:rPr>
        <w:t>as illustrated above</w:t>
      </w:r>
      <w:r>
        <w:rPr>
          <w:rFonts w:hint="eastAsia" w:ascii="Times New Roman" w:hAnsi="Times New Roman" w:eastAsia="宋体" w:cs="Times New Roman"/>
          <w:sz w:val="20"/>
          <w:szCs w:val="20"/>
        </w:rPr>
        <w:t xml:space="preserve">. Only the specification impact of option-2, which is for the UEs without enough high capability, need be focused. </w:t>
      </w:r>
    </w:p>
    <w:p>
      <w:pPr>
        <w:numPr>
          <w:ilvl w:val="3"/>
          <w:numId w:val="0"/>
        </w:numPr>
        <w:spacing w:after="120"/>
        <w:ind w:left="440" w:leftChars="200"/>
        <w:rPr>
          <w:rFonts w:ascii="Times New Roman" w:hAnsi="Times New Roman" w:eastAsia="宋体" w:cs="Times New Roman"/>
          <w:sz w:val="20"/>
          <w:szCs w:val="20"/>
        </w:rPr>
      </w:pPr>
      <w:r>
        <w:rPr>
          <w:rFonts w:ascii="Times New Roman" w:hAnsi="Times New Roman" w:eastAsia="宋体"/>
          <w:b/>
          <w:i/>
          <w:sz w:val="20"/>
          <w:szCs w:val="20"/>
        </w:rPr>
        <w:t>Proposal</w:t>
      </w:r>
      <w:r>
        <w:rPr>
          <w:rFonts w:hint="eastAsia" w:ascii="Times New Roman" w:hAnsi="Times New Roman" w:eastAsia="宋体"/>
          <w:b/>
          <w:i/>
          <w:sz w:val="20"/>
          <w:szCs w:val="20"/>
        </w:rPr>
        <w:t xml:space="preserve"> 4: </w:t>
      </w:r>
      <w:r>
        <w:rPr>
          <w:rFonts w:hint="eastAsia" w:ascii="Times New Roman" w:hAnsi="Times New Roman" w:cs="Times New Roman"/>
          <w:i/>
          <w:sz w:val="20"/>
          <w:szCs w:val="20"/>
        </w:rPr>
        <w:t>UE should follow legacy behavior at slot boundaries due to TA adjustment if single UE capability that governs UE behavior w.r.t gaps between segments for PUSCH and NPUSCH, when the UE performs segmented pre-compensation, is not indicated.</w:t>
      </w:r>
    </w:p>
    <w:p>
      <w:pPr>
        <w:numPr>
          <w:ilvl w:val="1"/>
          <w:numId w:val="1"/>
        </w:numPr>
        <w:spacing w:after="120"/>
        <w:rPr>
          <w:rFonts w:ascii="Times New Roman" w:hAnsi="Times New Roman" w:eastAsia="宋体" w:cs="Times New Roman"/>
          <w:sz w:val="24"/>
          <w:szCs w:val="24"/>
        </w:rPr>
      </w:pPr>
      <w:r>
        <w:rPr>
          <w:rFonts w:hint="eastAsia" w:ascii="Times New Roman" w:hAnsi="Times New Roman" w:eastAsia="宋体" w:cs="Times New Roman"/>
          <w:sz w:val="24"/>
          <w:szCs w:val="24"/>
        </w:rPr>
        <w:t>UE behaviour</w:t>
      </w:r>
    </w:p>
    <w:p>
      <w:pPr>
        <w:numPr>
          <w:ilvl w:val="7"/>
          <w:numId w:val="0"/>
        </w:numPr>
        <w:spacing w:after="120"/>
        <w:ind w:left="440" w:leftChars="200"/>
        <w:rPr>
          <w:rFonts w:ascii="Times New Roman" w:hAnsi="Times New Roman" w:eastAsia="宋体" w:cs="Times New Roman"/>
          <w:sz w:val="20"/>
          <w:szCs w:val="20"/>
        </w:rPr>
      </w:pPr>
      <w:r>
        <w:rPr>
          <w:rFonts w:hint="eastAsia" w:ascii="Times New Roman" w:hAnsi="Times New Roman" w:eastAsia="宋体" w:cs="Times New Roman"/>
          <w:sz w:val="20"/>
          <w:szCs w:val="20"/>
        </w:rPr>
        <w:t>For the methods of blanking symbol/slot/subframe, the detailed UE behavio</w:t>
      </w:r>
      <w:bookmarkStart w:id="6" w:name="_GoBack"/>
      <w:bookmarkEnd w:id="6"/>
      <w:r>
        <w:rPr>
          <w:rFonts w:hint="eastAsia" w:ascii="Times New Roman" w:hAnsi="Times New Roman" w:eastAsia="宋体" w:cs="Times New Roman"/>
          <w:sz w:val="20"/>
          <w:szCs w:val="20"/>
        </w:rPr>
        <w:t xml:space="preserve">rs on how to achieve blanking should be specified since the resource mapping will be impacted. The blanked symbol/slot/subframe is actually applied in resource mapping but not used for transmission. In legacy specification, such behaviour is generally specified as </w:t>
      </w:r>
      <w:r>
        <w:rPr>
          <w:rFonts w:ascii="Times New Roman" w:hAnsi="Times New Roman" w:eastAsia="宋体" w:cs="Times New Roman"/>
          <w:sz w:val="20"/>
          <w:szCs w:val="20"/>
        </w:rPr>
        <w:t>“a transmission gap shall be counted for the PUSCH resource mapping but not used for transmission”</w:t>
      </w:r>
      <w:r>
        <w:rPr>
          <w:rFonts w:hint="eastAsia" w:ascii="Times New Roman" w:hAnsi="Times New Roman" w:eastAsia="宋体" w:cs="Times New Roman"/>
          <w:sz w:val="20"/>
          <w:szCs w:val="20"/>
        </w:rPr>
        <w:t xml:space="preserve">. Therefore, we support the TPs on TS 36.211 proposed by the feature leader of synchronization issue in RAN1#108e </w:t>
      </w: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REF _Ref32552 \w \h </w:instrText>
      </w:r>
      <w:r>
        <w:rPr>
          <w:rFonts w:hint="eastAsia" w:ascii="Times New Roman" w:hAnsi="Times New Roman" w:eastAsia="宋体" w:cs="Times New Roman"/>
          <w:sz w:val="20"/>
          <w:szCs w:val="20"/>
        </w:rPr>
        <w:fldChar w:fldCharType="separate"/>
      </w:r>
      <w:r>
        <w:rPr>
          <w:rFonts w:hint="eastAsia" w:ascii="Times New Roman" w:hAnsi="Times New Roman" w:eastAsia="宋体" w:cs="Times New Roman"/>
          <w:sz w:val="20"/>
          <w:szCs w:val="20"/>
        </w:rPr>
        <w:t>[1]</w:t>
      </w:r>
      <w:r>
        <w:rPr>
          <w:rFonts w:hint="eastAsia" w:ascii="Times New Roman" w:hAnsi="Times New Roman" w:eastAsia="宋体" w:cs="Times New Roman"/>
          <w:sz w:val="20"/>
          <w:szCs w:val="20"/>
        </w:rPr>
        <w:fldChar w:fldCharType="end"/>
      </w:r>
      <w:r>
        <w:rPr>
          <w:rFonts w:hint="eastAsia" w:ascii="Times New Roman" w:hAnsi="Times New Roman" w:eastAsia="宋体" w:cs="Times New Roman"/>
          <w:sz w:val="20"/>
          <w:szCs w:val="20"/>
        </w:rPr>
        <w:t>.</w:t>
      </w:r>
    </w:p>
    <w:p>
      <w:pPr>
        <w:numPr>
          <w:ilvl w:val="3"/>
          <w:numId w:val="0"/>
        </w:numPr>
        <w:spacing w:after="120"/>
        <w:ind w:left="440" w:leftChars="200"/>
        <w:rPr>
          <w:rFonts w:ascii="Times New Roman" w:hAnsi="Times New Roman" w:eastAsia="宋体" w:cs="Times New Roman"/>
          <w:sz w:val="20"/>
          <w:szCs w:val="20"/>
        </w:rPr>
      </w:pPr>
      <w:r>
        <w:rPr>
          <w:rFonts w:ascii="Times New Roman" w:hAnsi="Times New Roman" w:eastAsia="宋体"/>
          <w:b/>
          <w:i/>
          <w:sz w:val="20"/>
          <w:szCs w:val="20"/>
        </w:rPr>
        <w:t>Proposal</w:t>
      </w:r>
      <w:r>
        <w:rPr>
          <w:rFonts w:hint="eastAsia" w:ascii="Times New Roman" w:hAnsi="Times New Roman" w:eastAsia="宋体"/>
          <w:b/>
          <w:i/>
          <w:sz w:val="20"/>
          <w:szCs w:val="20"/>
        </w:rPr>
        <w:t xml:space="preserve"> 5: </w:t>
      </w:r>
      <w:r>
        <w:rPr>
          <w:rFonts w:hint="eastAsia" w:ascii="Times New Roman" w:hAnsi="Times New Roman" w:cs="Times New Roman"/>
          <w:i/>
          <w:sz w:val="20"/>
          <w:szCs w:val="20"/>
        </w:rPr>
        <w:t>Support the TPs on TS 36.211 proposed by the feature leader of synchronization issue in RAN1#108e, which are as follows:</w:t>
      </w:r>
    </w:p>
    <w:p>
      <w:pPr>
        <w:pStyle w:val="49"/>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w:t>
      </w:r>
      <w:r>
        <w:rPr>
          <w:rFonts w:hint="eastAsia" w:ascii="Times New Roman" w:hAnsi="Times New Roman"/>
          <w:b/>
          <w:bCs/>
          <w:i/>
          <w:iCs/>
          <w:color w:val="C00000"/>
          <w:sz w:val="20"/>
          <w:szCs w:val="20"/>
          <w:shd w:val="clear" w:color="auto" w:fill="FFFF00"/>
        </w:rPr>
        <w:t>3</w:t>
      </w:r>
      <w:r>
        <w:rPr>
          <w:rFonts w:ascii="Times New Roman" w:hAnsi="Times New Roman"/>
          <w:b/>
          <w:bCs/>
          <w:i/>
          <w:iCs/>
          <w:color w:val="C00000"/>
          <w:sz w:val="20"/>
          <w:szCs w:val="20"/>
          <w:shd w:val="clear" w:color="auto" w:fill="FFFF00"/>
        </w:rPr>
        <w:t>, Section 5.3.4, TS 36.211&gt;</w:t>
      </w:r>
    </w:p>
    <w:p>
      <w:pPr>
        <w:ind w:left="440" w:leftChars="200"/>
        <w:rPr>
          <w:rFonts w:ascii="Times New Roman" w:hAnsi="Times New Roman" w:cs="Times New Roman"/>
          <w:i/>
          <w:iCs/>
          <w:sz w:val="20"/>
          <w:szCs w:val="20"/>
        </w:rPr>
      </w:pPr>
      <w:r>
        <w:rPr>
          <w:rFonts w:ascii="Times New Roman" w:hAnsi="Times New Roman" w:eastAsia="宋体" w:cs="Times New Roman"/>
          <w:i/>
          <w:iCs/>
          <w:sz w:val="20"/>
          <w:szCs w:val="20"/>
        </w:rPr>
        <w:t>For BL/CE</w:t>
      </w:r>
      <w:r>
        <w:rPr>
          <w:rFonts w:ascii="Times New Roman" w:hAnsi="Times New Roman" w:cs="Times New Roman"/>
          <w:i/>
          <w:iCs/>
          <w:sz w:val="20"/>
          <w:szCs w:val="20"/>
        </w:rPr>
        <w:t xml:space="preserve"> UEs communicating over NTN, for PUSCH transmission, for frame structure type 1, after a transmission duration of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segment</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time units (which may include subframes that are not BL/CE UL subframes), a transmission gap of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gap</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time units shall be counted for the PUSCH resource mapping but not used for transmission of the PUSCH, according to the UE capability ue-CE-NeedSegmentedPrecompensationGaps, as specified in 3GPP TS 36.331. The quantity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segment</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is provided by higher layers, and the quantity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gap</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is one subframe, one slot, or one symbol </w:t>
      </w:r>
      <w:r>
        <w:rPr>
          <w:rStyle w:val="15"/>
          <w:rFonts w:ascii="Times New Roman" w:hAnsi="Times New Roman" w:cs="Times New Roman"/>
          <w:b w:val="0"/>
          <w:bCs w:val="0"/>
          <w:i/>
          <w:iCs/>
          <w:sz w:val="20"/>
          <w:szCs w:val="20"/>
        </w:rPr>
        <w:t>may be</w:t>
      </w:r>
      <w:r>
        <w:rPr>
          <w:rFonts w:ascii="Times New Roman" w:hAnsi="Times New Roman" w:cs="Times New Roman"/>
          <w:i/>
          <w:iCs/>
          <w:sz w:val="20"/>
          <w:szCs w:val="20"/>
        </w:rPr>
        <w:t> </w:t>
      </w:r>
      <w:r>
        <w:rPr>
          <w:rStyle w:val="15"/>
          <w:rFonts w:ascii="Times New Roman" w:hAnsi="Times New Roman" w:cs="Times New Roman"/>
          <w:b w:val="0"/>
          <w:bCs w:val="0"/>
          <w:i/>
          <w:iCs/>
          <w:sz w:val="20"/>
          <w:szCs w:val="20"/>
        </w:rPr>
        <w:t> configured by network based on the   quantity  supported by the UE if indicated by UE in ue-CE-NeedSegmentedPrecompensationGaps</w:t>
      </w:r>
      <w:r>
        <w:rPr>
          <w:rFonts w:ascii="Times New Roman" w:hAnsi="Times New Roman" w:cs="Times New Roman"/>
          <w:i/>
          <w:iCs/>
          <w:sz w:val="20"/>
          <w:szCs w:val="20"/>
        </w:rPr>
        <w:t xml:space="preserve">. </w:t>
      </w:r>
    </w:p>
    <w:p>
      <w:pPr>
        <w:pStyle w:val="49"/>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&lt;END TP</w:t>
      </w:r>
      <w:r>
        <w:rPr>
          <w:rFonts w:hint="eastAsia" w:ascii="Times New Roman" w:hAnsi="Times New Roman"/>
          <w:b/>
          <w:bCs/>
          <w:i/>
          <w:iCs/>
          <w:color w:val="C00000"/>
          <w:sz w:val="20"/>
          <w:szCs w:val="20"/>
          <w:shd w:val="clear" w:color="auto" w:fill="FFFF00"/>
        </w:rPr>
        <w:t>3</w:t>
      </w:r>
      <w:r>
        <w:rPr>
          <w:rFonts w:ascii="Times New Roman" w:hAnsi="Times New Roman"/>
          <w:b/>
          <w:bCs/>
          <w:i/>
          <w:iCs/>
          <w:color w:val="C00000"/>
          <w:sz w:val="20"/>
          <w:szCs w:val="20"/>
          <w:shd w:val="clear" w:color="auto" w:fill="FFFF00"/>
        </w:rPr>
        <w:t>&gt;</w:t>
      </w:r>
    </w:p>
    <w:p>
      <w:pPr>
        <w:pStyle w:val="49"/>
        <w:jc w:val="center"/>
        <w:rPr>
          <w:rFonts w:ascii="Times New Roman" w:hAnsi="Times New Roman"/>
          <w:i/>
          <w:iCs/>
          <w:sz w:val="20"/>
          <w:szCs w:val="20"/>
        </w:rPr>
      </w:pPr>
      <w:r>
        <w:rPr>
          <w:rFonts w:ascii="Times New Roman" w:hAnsi="Times New Roman"/>
          <w:b/>
          <w:bCs/>
          <w:i/>
          <w:iCs/>
          <w:color w:val="C00000"/>
          <w:sz w:val="20"/>
          <w:szCs w:val="20"/>
          <w:shd w:val="clear" w:color="auto" w:fill="FFFF00"/>
        </w:rPr>
        <w:t>&lt;TP</w:t>
      </w:r>
      <w:r>
        <w:rPr>
          <w:rFonts w:hint="eastAsia" w:ascii="Times New Roman" w:hAnsi="Times New Roman"/>
          <w:b/>
          <w:bCs/>
          <w:i/>
          <w:iCs/>
          <w:color w:val="C00000"/>
          <w:sz w:val="20"/>
          <w:szCs w:val="20"/>
          <w:shd w:val="clear" w:color="auto" w:fill="FFFF00"/>
        </w:rPr>
        <w:t>4</w:t>
      </w:r>
      <w:r>
        <w:rPr>
          <w:rFonts w:ascii="Times New Roman" w:hAnsi="Times New Roman"/>
          <w:b/>
          <w:bCs/>
          <w:i/>
          <w:iCs/>
          <w:color w:val="C00000"/>
          <w:sz w:val="20"/>
          <w:szCs w:val="20"/>
          <w:shd w:val="clear" w:color="auto" w:fill="FFFF00"/>
        </w:rPr>
        <w:t>, Section 10.1.3.6, TS 36.211&gt;</w:t>
      </w:r>
    </w:p>
    <w:p>
      <w:pPr>
        <w:ind w:left="440" w:leftChars="200"/>
        <w:rPr>
          <w:rFonts w:ascii="Times New Roman" w:hAnsi="Times New Roman"/>
          <w:i/>
          <w:iCs/>
          <w:sz w:val="20"/>
          <w:szCs w:val="20"/>
        </w:rPr>
      </w:pPr>
      <w:r>
        <w:rPr>
          <w:rFonts w:ascii="Times New Roman" w:hAnsi="Times New Roman" w:cs="Times New Roman"/>
          <w:i/>
          <w:iCs/>
          <w:sz w:val="20"/>
          <w:szCs w:val="20"/>
        </w:rPr>
        <w:t xml:space="preserve">For a UE communicating over NTN, after transmissions and/or postponements due to NPRACH of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segment</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time units, for frame structure type 1, a transmission gap of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gap</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time units shall be shall be counted for the NPUSCH resource mapping but not used for transmission of the PUSCH according to the UE capability ue-NBIOT-NeedSegmentedPrecompensationGaps , as specified in 3GPP TS 36.331. The quantity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segment</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is provided by higher layers, and the quantity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gap</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is one subframe, one slot or 2 slots, or one symbol </w:t>
      </w:r>
      <w:r>
        <w:rPr>
          <w:rStyle w:val="15"/>
          <w:rFonts w:ascii="Times New Roman" w:hAnsi="Times New Roman" w:cs="Times New Roman"/>
          <w:b w:val="0"/>
          <w:bCs w:val="0"/>
          <w:i/>
          <w:iCs/>
          <w:sz w:val="20"/>
          <w:szCs w:val="20"/>
        </w:rPr>
        <w:t>may be</w:t>
      </w:r>
      <w:r>
        <w:rPr>
          <w:rFonts w:ascii="Times New Roman" w:hAnsi="Times New Roman" w:cs="Times New Roman"/>
          <w:i/>
          <w:iCs/>
          <w:sz w:val="20"/>
          <w:szCs w:val="20"/>
        </w:rPr>
        <w:t> </w:t>
      </w:r>
      <w:r>
        <w:rPr>
          <w:rStyle w:val="15"/>
          <w:rFonts w:ascii="Times New Roman" w:hAnsi="Times New Roman" w:cs="Times New Roman"/>
          <w:b w:val="0"/>
          <w:bCs w:val="0"/>
          <w:i/>
          <w:iCs/>
          <w:sz w:val="20"/>
          <w:szCs w:val="20"/>
        </w:rPr>
        <w:t xml:space="preserve"> configured by network based on the quantity  supported by the UE if indicated by UE in ue-CE-NeedSegmentedPrecompensationGaps</w:t>
      </w:r>
      <w:r>
        <w:rPr>
          <w:rFonts w:ascii="Times New Roman" w:hAnsi="Times New Roman" w:cs="Times New Roman"/>
          <w:i/>
          <w:iCs/>
          <w:sz w:val="20"/>
          <w:szCs w:val="20"/>
        </w:rPr>
        <w:t xml:space="preserve">. </w:t>
      </w:r>
      <w:r>
        <w:rPr>
          <w:rFonts w:ascii="Times New Roman" w:hAnsi="Times New Roman"/>
          <w:i/>
          <w:iCs/>
          <w:sz w:val="20"/>
          <w:szCs w:val="20"/>
        </w:rPr>
        <w:t> </w:t>
      </w:r>
    </w:p>
    <w:p>
      <w:pPr>
        <w:pStyle w:val="49"/>
        <w:jc w:val="center"/>
        <w:rPr>
          <w:rFonts w:ascii="Times New Roman" w:hAnsi="Times New Roman"/>
          <w:i/>
          <w:iCs/>
          <w:color w:val="000000"/>
          <w:sz w:val="20"/>
          <w:szCs w:val="20"/>
        </w:rPr>
      </w:pPr>
      <w:r>
        <w:rPr>
          <w:rFonts w:ascii="Times New Roman" w:hAnsi="Times New Roman"/>
          <w:b/>
          <w:bCs/>
          <w:i/>
          <w:iCs/>
          <w:color w:val="C00000"/>
          <w:sz w:val="20"/>
          <w:szCs w:val="20"/>
          <w:shd w:val="clear" w:color="auto" w:fill="FFFF00"/>
        </w:rPr>
        <w:t>&lt;END TP</w:t>
      </w:r>
      <w:r>
        <w:rPr>
          <w:rFonts w:hint="eastAsia" w:ascii="Times New Roman" w:hAnsi="Times New Roman"/>
          <w:b/>
          <w:bCs/>
          <w:i/>
          <w:iCs/>
          <w:color w:val="C00000"/>
          <w:sz w:val="20"/>
          <w:szCs w:val="20"/>
          <w:shd w:val="clear" w:color="auto" w:fill="FFFF00"/>
        </w:rPr>
        <w:t>4</w:t>
      </w:r>
      <w:r>
        <w:rPr>
          <w:rFonts w:ascii="Times New Roman" w:hAnsi="Times New Roman"/>
          <w:b/>
          <w:bCs/>
          <w:i/>
          <w:iCs/>
          <w:color w:val="C00000"/>
          <w:sz w:val="20"/>
          <w:szCs w:val="20"/>
          <w:shd w:val="clear" w:color="auto" w:fill="FFFF00"/>
        </w:rPr>
        <w:t>&gt;</w:t>
      </w:r>
    </w:p>
    <w:p>
      <w:pPr>
        <w:pStyle w:val="49"/>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w:t>
      </w:r>
      <w:r>
        <w:rPr>
          <w:rFonts w:hint="eastAsia" w:ascii="Times New Roman" w:hAnsi="Times New Roman"/>
          <w:b/>
          <w:bCs/>
          <w:i/>
          <w:iCs/>
          <w:color w:val="C00000"/>
          <w:sz w:val="20"/>
          <w:szCs w:val="20"/>
          <w:shd w:val="clear" w:color="auto" w:fill="FFFF00"/>
        </w:rPr>
        <w:t>5</w:t>
      </w:r>
      <w:r>
        <w:rPr>
          <w:rFonts w:ascii="Times New Roman" w:hAnsi="Times New Roman"/>
          <w:b/>
          <w:bCs/>
          <w:i/>
          <w:iCs/>
          <w:color w:val="C00000"/>
          <w:sz w:val="20"/>
          <w:szCs w:val="20"/>
          <w:shd w:val="clear" w:color="auto" w:fill="FFFF00"/>
        </w:rPr>
        <w:t>, Section 5.3.4, TS 36.211&gt;</w:t>
      </w:r>
    </w:p>
    <w:p>
      <w:pPr>
        <w:ind w:left="440" w:leftChars="200"/>
        <w:rPr>
          <w:rFonts w:ascii="Times New Roman" w:hAnsi="Times New Roman" w:cs="Times New Roman"/>
          <w:i/>
          <w:iCs/>
          <w:sz w:val="20"/>
          <w:szCs w:val="20"/>
        </w:rPr>
      </w:pPr>
      <w:r>
        <w:rPr>
          <w:rFonts w:ascii="Times New Roman" w:hAnsi="Times New Roman" w:cs="Times New Roman"/>
          <w:i/>
          <w:iCs/>
          <w:sz w:val="20"/>
          <w:szCs w:val="20"/>
        </w:rPr>
        <w:t xml:space="preserve">For BL/CE UEs communicating over NTN, for PUSCH transmission, for frame structure type 1, after a transmission duration of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segment</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time units (which may include subframes that are not BL/CE UL subframes), a transmission gap of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gap</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time units shall be counted for the PUCCH resource mapping but not used for transmission of the PUCCH, according to the UE capability ue-CE-NeedSegmentedPrecompensationGaps, as specified in 3GPP TS 36.331. The quantity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segment</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is provided by higher layers, and the quantity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gap</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is one subframe, one slot, or one symbol </w:t>
      </w:r>
      <w:r>
        <w:rPr>
          <w:rStyle w:val="15"/>
          <w:rFonts w:ascii="Times New Roman" w:hAnsi="Times New Roman" w:cs="Times New Roman"/>
          <w:b w:val="0"/>
          <w:bCs w:val="0"/>
          <w:i/>
          <w:iCs/>
          <w:sz w:val="20"/>
          <w:szCs w:val="20"/>
        </w:rPr>
        <w:t>may be</w:t>
      </w:r>
      <w:r>
        <w:rPr>
          <w:rFonts w:ascii="Times New Roman" w:hAnsi="Times New Roman" w:cs="Times New Roman"/>
          <w:i/>
          <w:iCs/>
          <w:sz w:val="20"/>
          <w:szCs w:val="20"/>
        </w:rPr>
        <w:t> </w:t>
      </w:r>
      <w:r>
        <w:rPr>
          <w:rStyle w:val="15"/>
          <w:rFonts w:ascii="Times New Roman" w:hAnsi="Times New Roman" w:cs="Times New Roman"/>
          <w:b w:val="0"/>
          <w:bCs w:val="0"/>
          <w:i/>
          <w:iCs/>
          <w:sz w:val="20"/>
          <w:szCs w:val="20"/>
        </w:rPr>
        <w:t> configured by network based on the quantity  supported by the UE if indicated by UE in ue-CE-NeedSegmentedPrecompensationGaps</w:t>
      </w:r>
      <w:r>
        <w:rPr>
          <w:rFonts w:ascii="Times New Roman" w:hAnsi="Times New Roman" w:cs="Times New Roman"/>
          <w:i/>
          <w:iCs/>
          <w:sz w:val="20"/>
          <w:szCs w:val="20"/>
        </w:rPr>
        <w:t xml:space="preserve">. </w:t>
      </w:r>
    </w:p>
    <w:p>
      <w:pPr>
        <w:numPr>
          <w:ilvl w:val="7"/>
          <w:numId w:val="0"/>
        </w:numPr>
        <w:spacing w:after="120"/>
        <w:ind w:left="440" w:leftChars="200"/>
        <w:jc w:val="center"/>
        <w:rPr>
          <w:rFonts w:ascii="Times New Roman" w:hAnsi="Times New Roman" w:eastAsia="宋体" w:cs="Times New Roman"/>
          <w:sz w:val="20"/>
          <w:szCs w:val="20"/>
        </w:rPr>
      </w:pPr>
      <w:r>
        <w:rPr>
          <w:rFonts w:ascii="Times New Roman" w:hAnsi="Times New Roman"/>
          <w:b/>
          <w:bCs/>
          <w:i/>
          <w:iCs/>
          <w:color w:val="C00000"/>
          <w:sz w:val="20"/>
          <w:szCs w:val="20"/>
          <w:shd w:val="clear" w:color="auto" w:fill="FFFF00"/>
        </w:rPr>
        <w:t>&lt;END TP</w:t>
      </w:r>
      <w:r>
        <w:rPr>
          <w:rFonts w:hint="eastAsia" w:ascii="Times New Roman" w:hAnsi="Times New Roman"/>
          <w:b/>
          <w:bCs/>
          <w:i/>
          <w:iCs/>
          <w:color w:val="C00000"/>
          <w:sz w:val="20"/>
          <w:szCs w:val="20"/>
          <w:shd w:val="clear" w:color="auto" w:fill="FFFF00"/>
        </w:rPr>
        <w:t>5</w:t>
      </w:r>
      <w:r>
        <w:rPr>
          <w:rFonts w:ascii="Times New Roman" w:hAnsi="Times New Roman"/>
          <w:b/>
          <w:bCs/>
          <w:i/>
          <w:iCs/>
          <w:color w:val="C00000"/>
          <w:sz w:val="20"/>
          <w:szCs w:val="20"/>
          <w:shd w:val="clear" w:color="auto" w:fill="FFFF00"/>
        </w:rPr>
        <w:t>&gt;</w:t>
      </w:r>
    </w:p>
    <w:p>
      <w:pPr>
        <w:pStyle w:val="2"/>
        <w:keepNext w:val="0"/>
        <w:keepLines w:val="0"/>
        <w:widowControl w:val="0"/>
        <w:pBdr>
          <w:top w:val="none" w:color="auto" w:sz="0" w:space="0"/>
        </w:pBdr>
        <w:tabs>
          <w:tab w:val="left" w:pos="432"/>
        </w:tabs>
        <w:overflowPunct/>
        <w:snapToGrid w:val="0"/>
        <w:spacing w:before="120" w:beforeLines="50" w:after="120" w:afterLines="50"/>
        <w:ind w:left="431" w:hanging="431"/>
        <w:textAlignment w:val="auto"/>
        <w:rPr>
          <w:rFonts w:eastAsia="黑体" w:cs="Times New Roman"/>
          <w:b/>
          <w:bCs/>
          <w:sz w:val="28"/>
          <w:szCs w:val="30"/>
          <w:lang w:val="en-US"/>
        </w:rPr>
      </w:pPr>
      <w:r>
        <w:rPr>
          <w:rFonts w:hint="eastAsia" w:eastAsia="黑体" w:cs="Times New Roman"/>
          <w:b/>
          <w:bCs/>
          <w:sz w:val="28"/>
          <w:szCs w:val="30"/>
          <w:lang w:val="en-US"/>
        </w:rPr>
        <w:t>Implicit epoch time indication</w:t>
      </w:r>
    </w:p>
    <w:p>
      <w:pPr>
        <w:pStyle w:val="29"/>
        <w:spacing w:before="120" w:beforeLines="50" w:after="120" w:afterLines="50" w:line="240" w:lineRule="auto"/>
        <w:ind w:left="440" w:leftChars="200" w:firstLine="0" w:firstLineChars="0"/>
        <w:jc w:val="both"/>
        <w:rPr>
          <w:rFonts w:ascii="Times New Roman" w:hAnsi="Times New Roman" w:eastAsia="宋体" w:cs="Times New Roman"/>
          <w:sz w:val="20"/>
          <w:szCs w:val="20"/>
        </w:rPr>
      </w:pPr>
      <w:r>
        <w:rPr>
          <w:rFonts w:ascii="Times New Roman" w:hAnsi="Times New Roman" w:eastAsia="宋体" w:cs="Times New Roman"/>
          <w:sz w:val="20"/>
          <w:szCs w:val="20"/>
        </w:rPr>
        <w:t xml:space="preserve">In </w:t>
      </w:r>
      <w:r>
        <w:rPr>
          <w:rFonts w:hint="eastAsia" w:ascii="Times New Roman" w:hAnsi="Times New Roman" w:eastAsia="宋体" w:cs="Times New Roman"/>
          <w:sz w:val="20"/>
          <w:szCs w:val="20"/>
        </w:rPr>
        <w:t xml:space="preserve">RAN1#107e </w:t>
      </w: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REF _Ref1095 \w \h </w:instrText>
      </w:r>
      <w:r>
        <w:rPr>
          <w:rFonts w:hint="eastAsia" w:ascii="Times New Roman" w:hAnsi="Times New Roman" w:eastAsia="宋体" w:cs="Times New Roman"/>
          <w:sz w:val="20"/>
          <w:szCs w:val="20"/>
        </w:rPr>
        <w:fldChar w:fldCharType="separate"/>
      </w:r>
      <w:r>
        <w:rPr>
          <w:rFonts w:hint="eastAsia" w:ascii="Times New Roman" w:hAnsi="Times New Roman" w:eastAsia="宋体" w:cs="Times New Roman"/>
          <w:sz w:val="20"/>
          <w:szCs w:val="20"/>
        </w:rPr>
        <w:t>[2]</w:t>
      </w:r>
      <w:r>
        <w:rPr>
          <w:rFonts w:hint="eastAsia" w:ascii="Times New Roman" w:hAnsi="Times New Roman" w:eastAsia="宋体" w:cs="Times New Roman"/>
          <w:sz w:val="20"/>
          <w:szCs w:val="20"/>
        </w:rPr>
        <w:fldChar w:fldCharType="end"/>
      </w: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REF _Ref32552 \n \h </w:instrText>
      </w:r>
      <w:r>
        <w:rPr>
          <w:rFonts w:hint="eastAsia" w:ascii="Times New Roman" w:hAnsi="Times New Roman" w:eastAsia="宋体" w:cs="Times New Roman"/>
          <w:sz w:val="20"/>
          <w:szCs w:val="20"/>
        </w:rPr>
        <w:fldChar w:fldCharType="end"/>
      </w:r>
      <w:r>
        <w:rPr>
          <w:rFonts w:hint="eastAsia" w:ascii="Times New Roman" w:hAnsi="Times New Roman" w:eastAsia="宋体" w:cs="Times New Roman"/>
          <w:sz w:val="20"/>
          <w:szCs w:val="20"/>
        </w:rPr>
        <w:t xml:space="preserve">, how to indicate the epoch time is discussed and the methods used in NR-NTN is agreed to be reused. And the implicit epoch time indication method is further revised in RAN1#108e </w:t>
      </w:r>
      <w:r>
        <w:rPr>
          <w:rFonts w:hint="eastAsia" w:ascii="Times New Roman" w:hAnsi="Times New Roman" w:eastAsia="宋体" w:cs="Times New Roman"/>
          <w:sz w:val="20"/>
          <w:szCs w:val="20"/>
        </w:rPr>
        <w:fldChar w:fldCharType="begin"/>
      </w:r>
      <w:r>
        <w:rPr>
          <w:rFonts w:hint="eastAsia" w:ascii="Times New Roman" w:hAnsi="Times New Roman" w:eastAsia="宋体" w:cs="Times New Roman"/>
          <w:sz w:val="20"/>
          <w:szCs w:val="20"/>
        </w:rPr>
        <w:instrText xml:space="preserve"> REF _Ref1460 \w \h </w:instrText>
      </w:r>
      <w:r>
        <w:rPr>
          <w:rFonts w:hint="eastAsia" w:ascii="Times New Roman" w:hAnsi="Times New Roman" w:eastAsia="宋体" w:cs="Times New Roman"/>
          <w:sz w:val="20"/>
          <w:szCs w:val="20"/>
        </w:rPr>
        <w:fldChar w:fldCharType="separate"/>
      </w:r>
      <w:r>
        <w:rPr>
          <w:rFonts w:hint="eastAsia" w:ascii="Times New Roman" w:hAnsi="Times New Roman" w:eastAsia="宋体" w:cs="Times New Roman"/>
          <w:sz w:val="20"/>
          <w:szCs w:val="20"/>
        </w:rPr>
        <w:t>[3]</w:t>
      </w:r>
      <w:r>
        <w:rPr>
          <w:rFonts w:hint="eastAsia" w:ascii="Times New Roman" w:hAnsi="Times New Roman" w:eastAsia="宋体" w:cs="Times New Roman"/>
          <w:sz w:val="20"/>
          <w:szCs w:val="20"/>
        </w:rPr>
        <w:fldChar w:fldCharType="end"/>
      </w:r>
      <w:r>
        <w:rPr>
          <w:rFonts w:hint="eastAsia" w:ascii="Times New Roman" w:hAnsi="Times New Roman" w:eastAsia="宋体" w:cs="Times New Roman"/>
          <w:sz w:val="20"/>
          <w:szCs w:val="20"/>
        </w:rPr>
        <w:t xml:space="preserve"> as follows:</w:t>
      </w:r>
    </w:p>
    <w:p>
      <w:pPr>
        <w:shd w:val="clear" w:color="auto" w:fill="FFFFFF"/>
        <w:spacing w:after="180"/>
        <w:ind w:left="440" w:leftChars="200"/>
        <w:rPr>
          <w:rFonts w:ascii="Times New Roman" w:hAnsi="Times New Roman" w:eastAsia="serif" w:cs="Times New Roman"/>
          <w:b/>
          <w:bCs/>
          <w:i/>
          <w:iCs/>
          <w:color w:val="000000"/>
          <w:sz w:val="20"/>
          <w:szCs w:val="20"/>
          <w:shd w:val="clear" w:color="auto" w:fill="00FF00"/>
          <w:lang w:bidi="ar"/>
        </w:rPr>
      </w:pPr>
      <w:r>
        <w:rPr>
          <w:rFonts w:ascii="Times New Roman" w:hAnsi="Times New Roman" w:eastAsia="serif" w:cs="Times New Roman"/>
          <w:b/>
          <w:bCs/>
          <w:i/>
          <w:iCs/>
          <w:color w:val="000000"/>
          <w:sz w:val="20"/>
          <w:szCs w:val="20"/>
          <w:shd w:val="clear" w:color="auto" w:fill="00FF00"/>
          <w:lang w:bidi="ar"/>
        </w:rPr>
        <w:t>Agreement</w:t>
      </w:r>
    </w:p>
    <w:p>
      <w:pPr>
        <w:ind w:left="440" w:leftChars="200"/>
        <w:rPr>
          <w:rFonts w:ascii="Times New Roman" w:hAnsi="Times New Roman" w:cs="Times New Roman"/>
          <w:i/>
          <w:iCs/>
          <w:sz w:val="20"/>
          <w:szCs w:val="20"/>
        </w:rPr>
      </w:pPr>
      <w:r>
        <w:rPr>
          <w:rFonts w:ascii="Times New Roman" w:hAnsi="Times New Roman" w:cs="Times New Roman"/>
          <w:i/>
          <w:iCs/>
          <w:sz w:val="20"/>
          <w:szCs w:val="20"/>
        </w:rPr>
        <w:t>Modify second bullet of RAN1#107-e agreement on Epoch time as follows:</w:t>
      </w:r>
    </w:p>
    <w:p>
      <w:pPr>
        <w:ind w:left="660" w:leftChars="300"/>
        <w:rPr>
          <w:rFonts w:ascii="Times New Roman" w:hAnsi="Times New Roman" w:cs="Times New Roman"/>
          <w:i/>
          <w:iCs/>
          <w:sz w:val="20"/>
          <w:szCs w:val="20"/>
        </w:rPr>
      </w:pPr>
      <w:r>
        <w:rPr>
          <w:rFonts w:ascii="Times New Roman" w:hAnsi="Times New Roman" w:cs="Times New Roman"/>
          <w:i/>
          <w:iCs/>
          <w:sz w:val="20"/>
          <w:szCs w:val="20"/>
        </w:rPr>
        <w:t xml:space="preserve">Otherwise, when </w:t>
      </w:r>
      <w:r>
        <w:rPr>
          <w:rFonts w:ascii="Times New Roman" w:hAnsi="Times New Roman" w:cs="Times New Roman"/>
          <w:i/>
          <w:iCs/>
          <w:color w:val="FF0000"/>
          <w:sz w:val="20"/>
          <w:szCs w:val="20"/>
        </w:rPr>
        <w:t xml:space="preserve">Epoch time is not explicitly </w:t>
      </w:r>
      <w:r>
        <w:rPr>
          <w:rFonts w:ascii="Times New Roman" w:hAnsi="Times New Roman" w:cs="Times New Roman"/>
          <w:i/>
          <w:iCs/>
          <w:sz w:val="20"/>
          <w:szCs w:val="20"/>
        </w:rPr>
        <w:t xml:space="preserve">indicated in SIB </w:t>
      </w:r>
      <w:r>
        <w:rPr>
          <w:rFonts w:ascii="Times New Roman" w:hAnsi="Times New Roman" w:cs="Times New Roman"/>
          <w:i/>
          <w:iCs/>
          <w:dstrike/>
          <w:color w:val="FF0000"/>
          <w:sz w:val="20"/>
          <w:szCs w:val="20"/>
        </w:rPr>
        <w:t>(other than SIB1),</w:t>
      </w:r>
      <w:r>
        <w:rPr>
          <w:rFonts w:ascii="Times New Roman" w:hAnsi="Times New Roman" w:cs="Times New Roman"/>
          <w:i/>
          <w:iCs/>
          <w:color w:val="FF0000"/>
          <w:sz w:val="20"/>
          <w:szCs w:val="20"/>
        </w:rPr>
        <w:t xml:space="preserve"> </w:t>
      </w:r>
      <w:r>
        <w:rPr>
          <w:rFonts w:ascii="Times New Roman" w:hAnsi="Times New Roman" w:cs="Times New Roman"/>
          <w:i/>
          <w:iCs/>
          <w:sz w:val="20"/>
          <w:szCs w:val="20"/>
        </w:rPr>
        <w:t xml:space="preserve">epoch time of assistance information (i.e. Serving satellite ephemeris and Common TA parameters) is implicitly known as the end of the SI window during which the </w:t>
      </w:r>
      <w:r>
        <w:rPr>
          <w:rFonts w:ascii="Times New Roman" w:hAnsi="Times New Roman" w:cs="Times New Roman"/>
          <w:i/>
          <w:iCs/>
          <w:color w:val="FF0000"/>
          <w:sz w:val="20"/>
          <w:szCs w:val="20"/>
        </w:rPr>
        <w:t xml:space="preserve">NTN-specific SIB </w:t>
      </w:r>
      <w:r>
        <w:rPr>
          <w:rFonts w:ascii="Times New Roman" w:hAnsi="Times New Roman" w:cs="Times New Roman"/>
          <w:i/>
          <w:iCs/>
          <w:dstrike/>
          <w:color w:val="FF0000"/>
          <w:sz w:val="20"/>
          <w:szCs w:val="20"/>
        </w:rPr>
        <w:t>SI message</w:t>
      </w:r>
      <w:r>
        <w:rPr>
          <w:rFonts w:ascii="Times New Roman" w:hAnsi="Times New Roman" w:cs="Times New Roman"/>
          <w:i/>
          <w:iCs/>
          <w:color w:val="FF0000"/>
          <w:sz w:val="20"/>
          <w:szCs w:val="20"/>
        </w:rPr>
        <w:t xml:space="preserve"> </w:t>
      </w:r>
      <w:r>
        <w:rPr>
          <w:rFonts w:ascii="Times New Roman" w:hAnsi="Times New Roman" w:cs="Times New Roman"/>
          <w:i/>
          <w:iCs/>
          <w:sz w:val="20"/>
          <w:szCs w:val="20"/>
        </w:rPr>
        <w:t>is transmitted.</w:t>
      </w:r>
    </w:p>
    <w:p>
      <w:pPr>
        <w:pStyle w:val="29"/>
        <w:spacing w:before="120" w:beforeLines="50" w:after="120" w:afterLines="50" w:line="240" w:lineRule="auto"/>
        <w:ind w:left="440" w:leftChars="200" w:firstLine="0" w:firstLineChars="0"/>
        <w:jc w:val="both"/>
        <w:rPr>
          <w:rFonts w:ascii="Times New Roman" w:hAnsi="Times New Roman" w:eastAsia="宋体" w:cs="Times New Roman"/>
          <w:sz w:val="20"/>
          <w:szCs w:val="20"/>
        </w:rPr>
      </w:pPr>
      <w:r>
        <w:rPr>
          <w:rFonts w:hint="eastAsia" w:ascii="Times New Roman" w:hAnsi="Times New Roman" w:eastAsia="宋体" w:cs="Times New Roman"/>
          <w:sz w:val="20"/>
          <w:szCs w:val="20"/>
        </w:rPr>
        <w:t>However, in legacy NB-IoT, UE is allowed to combine SI across multiple SI windows. In such case, if implicit epoch time indication is applied, UE cannot figure out which SI window is used to indicate the epoch time. Hence, in order to avoid such ambiguity without significant specification impact, it is preferred to let the NTN-specific SIB to be updated per SI window.</w:t>
      </w:r>
    </w:p>
    <w:p>
      <w:pPr>
        <w:numPr>
          <w:ilvl w:val="3"/>
          <w:numId w:val="0"/>
        </w:numPr>
        <w:spacing w:after="120"/>
        <w:ind w:left="440" w:leftChars="200"/>
        <w:rPr>
          <w:rFonts w:ascii="Times New Roman" w:hAnsi="Times New Roman" w:eastAsia="宋体" w:cs="Times New Roman"/>
          <w:sz w:val="20"/>
          <w:szCs w:val="20"/>
        </w:rPr>
      </w:pPr>
      <w:r>
        <w:rPr>
          <w:rFonts w:ascii="Times New Roman" w:hAnsi="Times New Roman" w:eastAsia="宋体"/>
          <w:b/>
          <w:i/>
          <w:sz w:val="20"/>
          <w:szCs w:val="20"/>
        </w:rPr>
        <w:t>Proposal</w:t>
      </w:r>
      <w:r>
        <w:rPr>
          <w:rFonts w:hint="eastAsia" w:ascii="Times New Roman" w:hAnsi="Times New Roman" w:eastAsia="宋体"/>
          <w:b/>
          <w:i/>
          <w:sz w:val="20"/>
          <w:szCs w:val="20"/>
        </w:rPr>
        <w:t xml:space="preserve"> 6: </w:t>
      </w:r>
      <w:r>
        <w:rPr>
          <w:rFonts w:hint="eastAsia" w:ascii="Times New Roman" w:hAnsi="Times New Roman" w:cs="Times New Roman"/>
          <w:i/>
          <w:sz w:val="20"/>
          <w:szCs w:val="20"/>
        </w:rPr>
        <w:t>The NTN-specific SIB is expected to be updated per SI window in IoT-NTN.</w:t>
      </w:r>
    </w:p>
    <w:p>
      <w:pPr>
        <w:pStyle w:val="2"/>
        <w:keepNext w:val="0"/>
        <w:keepLines w:val="0"/>
        <w:widowControl w:val="0"/>
        <w:pBdr>
          <w:top w:val="none" w:color="auto" w:sz="0" w:space="0"/>
        </w:pBdr>
        <w:tabs>
          <w:tab w:val="left" w:pos="432"/>
        </w:tabs>
        <w:overflowPunct/>
        <w:snapToGrid w:val="0"/>
        <w:spacing w:before="120" w:beforeLines="50" w:after="120" w:afterLines="50"/>
        <w:ind w:left="431" w:hanging="431"/>
        <w:textAlignment w:val="auto"/>
        <w:rPr>
          <w:rFonts w:ascii="Times New Roman" w:hAnsi="Times New Roman" w:eastAsia="黑体" w:cs="Times New Roman"/>
          <w:b/>
          <w:bCs/>
          <w:sz w:val="28"/>
          <w:szCs w:val="30"/>
          <w:lang w:val="en-US"/>
        </w:rPr>
      </w:pPr>
      <w:r>
        <w:rPr>
          <w:rFonts w:hint="eastAsia" w:ascii="Times New Roman" w:hAnsi="Times New Roman" w:eastAsia="黑体" w:cs="Times New Roman"/>
          <w:b/>
          <w:bCs/>
          <w:sz w:val="28"/>
          <w:szCs w:val="30"/>
          <w:lang w:val="en-US"/>
        </w:rPr>
        <w:t>Conclusions</w:t>
      </w:r>
    </w:p>
    <w:p>
      <w:pPr>
        <w:pStyle w:val="29"/>
        <w:spacing w:before="120" w:beforeLines="50" w:after="120" w:afterLines="50" w:line="240" w:lineRule="auto"/>
        <w:ind w:left="440" w:leftChars="200" w:firstLine="0" w:firstLineChars="0"/>
        <w:jc w:val="both"/>
        <w:rPr>
          <w:rFonts w:ascii="Times New Roman" w:hAnsi="Times New Roman" w:eastAsia="宋体" w:cs="Times New Roman"/>
          <w:sz w:val="20"/>
          <w:szCs w:val="20"/>
        </w:rPr>
      </w:pPr>
      <w:r>
        <w:rPr>
          <w:rFonts w:ascii="Times New Roman" w:hAnsi="Times New Roman" w:eastAsia="宋体" w:cs="Times New Roman"/>
          <w:sz w:val="20"/>
          <w:szCs w:val="20"/>
        </w:rPr>
        <w:t xml:space="preserve">In this contribution, analysis on the </w:t>
      </w:r>
      <w:r>
        <w:rPr>
          <w:rFonts w:hint="eastAsia" w:ascii="Times New Roman" w:hAnsi="Times New Roman" w:eastAsia="宋体" w:cs="Times New Roman"/>
          <w:sz w:val="20"/>
          <w:szCs w:val="20"/>
        </w:rPr>
        <w:t xml:space="preserve">remaining </w:t>
      </w:r>
      <w:r>
        <w:rPr>
          <w:rFonts w:ascii="Times New Roman" w:hAnsi="Times New Roman" w:eastAsia="宋体" w:cs="Times New Roman"/>
          <w:sz w:val="20"/>
          <w:szCs w:val="20"/>
        </w:rPr>
        <w:t xml:space="preserve">issues for </w:t>
      </w:r>
      <w:r>
        <w:rPr>
          <w:rFonts w:hint="eastAsia" w:ascii="Times New Roman" w:hAnsi="Times New Roman" w:eastAsia="宋体" w:cs="Times New Roman"/>
          <w:sz w:val="20"/>
          <w:szCs w:val="20"/>
        </w:rPr>
        <w:t>IoT-</w:t>
      </w:r>
      <w:r>
        <w:rPr>
          <w:rFonts w:ascii="Times New Roman" w:hAnsi="Times New Roman" w:eastAsia="宋体" w:cs="Times New Roman"/>
          <w:sz w:val="20"/>
          <w:szCs w:val="20"/>
        </w:rPr>
        <w:t>NTN is conducted with following proposals and observations:</w:t>
      </w:r>
    </w:p>
    <w:p>
      <w:pPr>
        <w:numPr>
          <w:ilvl w:val="3"/>
          <w:numId w:val="0"/>
        </w:numPr>
        <w:spacing w:after="120"/>
        <w:ind w:left="440" w:leftChars="200"/>
        <w:rPr>
          <w:rFonts w:ascii="Times New Roman" w:hAnsi="Times New Roman" w:eastAsia="宋体" w:cs="Times New Roman"/>
          <w:sz w:val="20"/>
          <w:szCs w:val="20"/>
        </w:rPr>
      </w:pPr>
      <w:r>
        <w:rPr>
          <w:rFonts w:ascii="Times New Roman" w:hAnsi="Times New Roman" w:eastAsia="宋体"/>
          <w:b/>
          <w:i/>
          <w:sz w:val="20"/>
          <w:szCs w:val="20"/>
        </w:rPr>
        <w:t>Proposal</w:t>
      </w:r>
      <w:r>
        <w:rPr>
          <w:rFonts w:hint="eastAsia" w:ascii="Times New Roman" w:hAnsi="Times New Roman" w:eastAsia="宋体"/>
          <w:b/>
          <w:i/>
          <w:sz w:val="20"/>
          <w:szCs w:val="20"/>
        </w:rPr>
        <w:t xml:space="preserve"> 1: </w:t>
      </w:r>
      <w:r>
        <w:rPr>
          <w:rFonts w:hint="eastAsia" w:ascii="Times New Roman" w:hAnsi="Times New Roman" w:eastAsia="宋体" w:cs="Times New Roman"/>
          <w:i/>
          <w:sz w:val="20"/>
          <w:szCs w:val="20"/>
        </w:rPr>
        <w:t>The details of how to apply the segment pre-compensation should be captured in the specification</w:t>
      </w:r>
      <w:r>
        <w:rPr>
          <w:rFonts w:hint="eastAsia" w:ascii="Times New Roman" w:hAnsi="Times New Roman" w:cs="Times New Roman"/>
          <w:i/>
          <w:sz w:val="20"/>
          <w:szCs w:val="20"/>
        </w:rPr>
        <w:t>.</w:t>
      </w:r>
    </w:p>
    <w:p>
      <w:pPr>
        <w:numPr>
          <w:ilvl w:val="3"/>
          <w:numId w:val="0"/>
        </w:numPr>
        <w:spacing w:after="120"/>
        <w:ind w:left="440" w:leftChars="200"/>
        <w:rPr>
          <w:rFonts w:ascii="Times New Roman" w:hAnsi="Times New Roman" w:eastAsia="宋体" w:cs="Times New Roman"/>
          <w:sz w:val="20"/>
          <w:szCs w:val="20"/>
        </w:rPr>
      </w:pPr>
      <w:r>
        <w:rPr>
          <w:rFonts w:ascii="Times New Roman" w:hAnsi="Times New Roman" w:eastAsia="宋体"/>
          <w:b/>
          <w:i/>
          <w:sz w:val="20"/>
          <w:szCs w:val="20"/>
        </w:rPr>
        <w:t>Proposal</w:t>
      </w:r>
      <w:r>
        <w:rPr>
          <w:rFonts w:hint="eastAsia" w:ascii="Times New Roman" w:hAnsi="Times New Roman" w:eastAsia="宋体"/>
          <w:b/>
          <w:i/>
          <w:sz w:val="20"/>
          <w:szCs w:val="20"/>
        </w:rPr>
        <w:t xml:space="preserve"> 2: </w:t>
      </w:r>
      <w:r>
        <w:rPr>
          <w:rFonts w:hint="eastAsia" w:ascii="Times New Roman" w:hAnsi="Times New Roman" w:eastAsia="宋体" w:cs="Times New Roman"/>
          <w:i/>
          <w:sz w:val="20"/>
          <w:szCs w:val="20"/>
        </w:rPr>
        <w:t>Adopt following TPs in TS 36.213 to ensure the support of segment pre-compensation</w:t>
      </w:r>
      <w:r>
        <w:rPr>
          <w:rFonts w:hint="eastAsia" w:ascii="Times New Roman" w:hAnsi="Times New Roman" w:cs="Times New Roman"/>
          <w:i/>
          <w:sz w:val="20"/>
          <w:szCs w:val="20"/>
        </w:rPr>
        <w:t>.</w:t>
      </w:r>
    </w:p>
    <w:p>
      <w:pPr>
        <w:pStyle w:val="49"/>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w:t>
      </w:r>
      <w:r>
        <w:rPr>
          <w:rFonts w:hint="eastAsia" w:ascii="Times New Roman" w:hAnsi="Times New Roman"/>
          <w:b/>
          <w:bCs/>
          <w:i/>
          <w:iCs/>
          <w:color w:val="C00000"/>
          <w:sz w:val="20"/>
          <w:szCs w:val="20"/>
          <w:shd w:val="clear" w:color="auto" w:fill="FFFF00"/>
        </w:rPr>
        <w:t>1</w:t>
      </w:r>
      <w:r>
        <w:rPr>
          <w:rFonts w:ascii="Times New Roman" w:hAnsi="Times New Roman"/>
          <w:b/>
          <w:bCs/>
          <w:i/>
          <w:iCs/>
          <w:color w:val="C00000"/>
          <w:sz w:val="20"/>
          <w:szCs w:val="20"/>
          <w:shd w:val="clear" w:color="auto" w:fill="FFFF00"/>
        </w:rPr>
        <w:t xml:space="preserve">, Section </w:t>
      </w:r>
      <w:r>
        <w:rPr>
          <w:rFonts w:hint="eastAsia" w:ascii="Times New Roman" w:hAnsi="Times New Roman"/>
          <w:b/>
          <w:bCs/>
          <w:i/>
          <w:iCs/>
          <w:color w:val="C00000"/>
          <w:sz w:val="20"/>
          <w:szCs w:val="20"/>
          <w:shd w:val="clear" w:color="auto" w:fill="FFFF00"/>
        </w:rPr>
        <w:t>4.2.3</w:t>
      </w:r>
      <w:r>
        <w:rPr>
          <w:rFonts w:ascii="Times New Roman" w:hAnsi="Times New Roman"/>
          <w:b/>
          <w:bCs/>
          <w:i/>
          <w:iCs/>
          <w:color w:val="C00000"/>
          <w:sz w:val="20"/>
          <w:szCs w:val="20"/>
          <w:shd w:val="clear" w:color="auto" w:fill="FFFF00"/>
        </w:rPr>
        <w:t>, TS 36.21</w:t>
      </w:r>
      <w:r>
        <w:rPr>
          <w:rFonts w:hint="eastAsia" w:ascii="Times New Roman" w:hAnsi="Times New Roman"/>
          <w:b/>
          <w:bCs/>
          <w:i/>
          <w:iCs/>
          <w:color w:val="C00000"/>
          <w:sz w:val="20"/>
          <w:szCs w:val="20"/>
          <w:shd w:val="clear" w:color="auto" w:fill="FFFF00"/>
        </w:rPr>
        <w:t>3</w:t>
      </w:r>
      <w:r>
        <w:rPr>
          <w:rFonts w:ascii="Times New Roman" w:hAnsi="Times New Roman"/>
          <w:b/>
          <w:bCs/>
          <w:i/>
          <w:iCs/>
          <w:color w:val="C00000"/>
          <w:sz w:val="20"/>
          <w:szCs w:val="20"/>
          <w:shd w:val="clear" w:color="auto" w:fill="FFFF00"/>
        </w:rPr>
        <w:t>&gt;</w:t>
      </w:r>
    </w:p>
    <w:p>
      <w:pPr>
        <w:pStyle w:val="10"/>
        <w:shd w:val="clear" w:color="auto" w:fill="FFFFFF"/>
        <w:spacing w:beforeAutospacing="0" w:afterAutospacing="0" w:line="240" w:lineRule="atLeast"/>
        <w:ind w:left="440" w:leftChars="200"/>
        <w:rPr>
          <w:rFonts w:ascii="Times New Roman" w:hAnsi="Times New Roman"/>
          <w:i/>
          <w:iCs/>
          <w:sz w:val="20"/>
          <w:szCs w:val="20"/>
        </w:rPr>
      </w:pPr>
      <w:r>
        <w:rPr>
          <w:rFonts w:ascii="Times New Roman" w:hAnsi="Times New Roman"/>
          <w:i/>
          <w:iCs/>
          <w:sz w:val="20"/>
          <w:szCs w:val="20"/>
        </w:rPr>
        <w:t>For a BL/CE UE, if a segment duration is configured by higher layer parameter TransmissionDurationPRACH-r17, the </w:t>
      </w:r>
      <w:r>
        <w:rPr>
          <w:rFonts w:ascii="Times New Roman" w:hAnsi="Times New Roman"/>
          <w:i/>
          <w:iCs/>
          <w:sz w:val="20"/>
          <w:szCs w:val="20"/>
        </w:rPr>
        <w:drawing>
          <wp:inline distT="0" distB="0" distL="114300" distR="114300">
            <wp:extent cx="180975" cy="142875"/>
            <wp:effectExtent l="0" t="0" r="1905" b="1016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6"/>
                    <a:stretch>
                      <a:fillRect/>
                    </a:stretch>
                  </pic:blipFill>
                  <pic:spPr>
                    <a:xfrm>
                      <a:off x="0" y="0"/>
                      <a:ext cx="180975" cy="142875"/>
                    </a:xfrm>
                    <a:prstGeom prst="rect">
                      <a:avLst/>
                    </a:prstGeom>
                    <a:noFill/>
                    <a:ln w="9525">
                      <a:noFill/>
                    </a:ln>
                  </pic:spPr>
                </pic:pic>
              </a:graphicData>
            </a:graphic>
          </wp:inline>
        </w:drawing>
      </w:r>
      <w:r>
        <w:rPr>
          <w:rFonts w:ascii="Times New Roman" w:hAnsi="Times New Roman"/>
          <w:i/>
          <w:iCs/>
          <w:sz w:val="20"/>
          <w:szCs w:val="20"/>
        </w:rPr>
        <w:t> [36.211] shall be adjusted per segment during the transmission of physical random access preamble.</w:t>
      </w:r>
    </w:p>
    <w:p>
      <w:pPr>
        <w:pStyle w:val="10"/>
        <w:shd w:val="clear" w:color="auto" w:fill="FFFFFF"/>
        <w:spacing w:beforeAutospacing="0" w:afterAutospacing="0" w:line="240" w:lineRule="atLeast"/>
        <w:ind w:left="440" w:leftChars="200"/>
        <w:rPr>
          <w:rFonts w:ascii="Times New Roman" w:hAnsi="Times New Roman"/>
          <w:i/>
          <w:iCs/>
          <w:sz w:val="20"/>
          <w:szCs w:val="20"/>
        </w:rPr>
      </w:pPr>
      <w:r>
        <w:rPr>
          <w:rFonts w:ascii="Times New Roman" w:hAnsi="Times New Roman"/>
          <w:i/>
          <w:iCs/>
          <w:sz w:val="20"/>
          <w:szCs w:val="20"/>
        </w:rPr>
        <w:t>For a BL/CE UE, if a segment duration is configured by higher layer parameter TransmissionDurationPUSCH-r17, the </w:t>
      </w:r>
      <w:r>
        <w:rPr>
          <w:rFonts w:ascii="Times New Roman" w:hAnsi="Times New Roman"/>
          <w:i/>
          <w:iCs/>
          <w:sz w:val="20"/>
          <w:szCs w:val="20"/>
        </w:rPr>
        <w:drawing>
          <wp:inline distT="0" distB="0" distL="114300" distR="114300">
            <wp:extent cx="180975" cy="142875"/>
            <wp:effectExtent l="0" t="0" r="1905" b="10160"/>
            <wp:docPr id="6"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7"/>
                    <pic:cNvPicPr>
                      <a:picLocks noChangeAspect="1"/>
                    </pic:cNvPicPr>
                  </pic:nvPicPr>
                  <pic:blipFill>
                    <a:blip r:embed="rId7"/>
                    <a:stretch>
                      <a:fillRect/>
                    </a:stretch>
                  </pic:blipFill>
                  <pic:spPr>
                    <a:xfrm>
                      <a:off x="0" y="0"/>
                      <a:ext cx="180975" cy="142875"/>
                    </a:xfrm>
                    <a:prstGeom prst="rect">
                      <a:avLst/>
                    </a:prstGeom>
                    <a:noFill/>
                    <a:ln w="9525">
                      <a:noFill/>
                    </a:ln>
                  </pic:spPr>
                </pic:pic>
              </a:graphicData>
            </a:graphic>
          </wp:inline>
        </w:drawing>
      </w:r>
      <w:r>
        <w:rPr>
          <w:rFonts w:ascii="Times New Roman" w:hAnsi="Times New Roman"/>
          <w:i/>
          <w:iCs/>
          <w:sz w:val="20"/>
          <w:szCs w:val="20"/>
        </w:rPr>
        <w:t> [36.211] shall be adjusted per segment during the transmission of physical uplink shared channel.</w:t>
      </w:r>
    </w:p>
    <w:p>
      <w:pPr>
        <w:numPr>
          <w:ilvl w:val="7"/>
          <w:numId w:val="0"/>
        </w:numPr>
        <w:spacing w:after="120"/>
        <w:ind w:left="440" w:leftChars="200"/>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&lt;END TP</w:t>
      </w:r>
      <w:r>
        <w:rPr>
          <w:rFonts w:hint="eastAsia" w:ascii="Times New Roman" w:hAnsi="Times New Roman"/>
          <w:b/>
          <w:bCs/>
          <w:i/>
          <w:iCs/>
          <w:color w:val="C00000"/>
          <w:sz w:val="20"/>
          <w:szCs w:val="20"/>
          <w:shd w:val="clear" w:color="auto" w:fill="FFFF00"/>
        </w:rPr>
        <w:t>1</w:t>
      </w:r>
      <w:r>
        <w:rPr>
          <w:rFonts w:ascii="Times New Roman" w:hAnsi="Times New Roman"/>
          <w:b/>
          <w:bCs/>
          <w:i/>
          <w:iCs/>
          <w:color w:val="C00000"/>
          <w:sz w:val="20"/>
          <w:szCs w:val="20"/>
          <w:shd w:val="clear" w:color="auto" w:fill="FFFF00"/>
        </w:rPr>
        <w:t>&gt;</w:t>
      </w:r>
    </w:p>
    <w:p>
      <w:pPr>
        <w:pStyle w:val="49"/>
        <w:jc w:val="center"/>
        <w:rPr>
          <w:rFonts w:ascii="Times New Roman" w:hAnsi="Times New Roman" w:cs="Times New Roman"/>
          <w:i/>
          <w:iCs/>
          <w:color w:val="000000"/>
          <w:sz w:val="15"/>
          <w:szCs w:val="15"/>
          <w:shd w:val="clear" w:color="auto" w:fill="FFFF00"/>
        </w:rPr>
      </w:pPr>
      <w:r>
        <w:rPr>
          <w:rFonts w:ascii="Times New Roman" w:hAnsi="Times New Roman"/>
          <w:b/>
          <w:bCs/>
          <w:i/>
          <w:iCs/>
          <w:color w:val="C00000"/>
          <w:sz w:val="20"/>
          <w:szCs w:val="20"/>
          <w:shd w:val="clear" w:color="auto" w:fill="FFFF00"/>
        </w:rPr>
        <w:t>&lt;TP</w:t>
      </w:r>
      <w:r>
        <w:rPr>
          <w:rFonts w:hint="eastAsia" w:ascii="Times New Roman" w:hAnsi="Times New Roman"/>
          <w:b/>
          <w:bCs/>
          <w:i/>
          <w:iCs/>
          <w:color w:val="C00000"/>
          <w:sz w:val="20"/>
          <w:szCs w:val="20"/>
          <w:shd w:val="clear" w:color="auto" w:fill="FFFF00"/>
        </w:rPr>
        <w:t>2</w:t>
      </w:r>
      <w:r>
        <w:rPr>
          <w:rFonts w:ascii="Times New Roman" w:hAnsi="Times New Roman"/>
          <w:b/>
          <w:bCs/>
          <w:i/>
          <w:iCs/>
          <w:color w:val="C00000"/>
          <w:sz w:val="20"/>
          <w:szCs w:val="20"/>
          <w:shd w:val="clear" w:color="auto" w:fill="FFFF00"/>
        </w:rPr>
        <w:t xml:space="preserve">, Section </w:t>
      </w:r>
      <w:r>
        <w:rPr>
          <w:rFonts w:hint="eastAsia" w:ascii="Times New Roman" w:hAnsi="Times New Roman"/>
          <w:b/>
          <w:bCs/>
          <w:i/>
          <w:iCs/>
          <w:color w:val="C00000"/>
          <w:sz w:val="20"/>
          <w:szCs w:val="20"/>
          <w:shd w:val="clear" w:color="auto" w:fill="FFFF00"/>
        </w:rPr>
        <w:t>16.1.2</w:t>
      </w:r>
      <w:r>
        <w:rPr>
          <w:rFonts w:ascii="Times New Roman" w:hAnsi="Times New Roman"/>
          <w:b/>
          <w:bCs/>
          <w:i/>
          <w:iCs/>
          <w:color w:val="C00000"/>
          <w:sz w:val="20"/>
          <w:szCs w:val="20"/>
          <w:shd w:val="clear" w:color="auto" w:fill="FFFF00"/>
        </w:rPr>
        <w:t>, TS 36.21</w:t>
      </w:r>
      <w:r>
        <w:rPr>
          <w:rFonts w:hint="eastAsia" w:ascii="Times New Roman" w:hAnsi="Times New Roman"/>
          <w:b/>
          <w:bCs/>
          <w:i/>
          <w:iCs/>
          <w:color w:val="C00000"/>
          <w:sz w:val="20"/>
          <w:szCs w:val="20"/>
          <w:shd w:val="clear" w:color="auto" w:fill="FFFF00"/>
        </w:rPr>
        <w:t>3</w:t>
      </w:r>
      <w:r>
        <w:rPr>
          <w:rFonts w:ascii="Times New Roman" w:hAnsi="Times New Roman"/>
          <w:b/>
          <w:bCs/>
          <w:i/>
          <w:iCs/>
          <w:color w:val="C00000"/>
          <w:sz w:val="20"/>
          <w:szCs w:val="20"/>
          <w:shd w:val="clear" w:color="auto" w:fill="FFFF00"/>
        </w:rPr>
        <w:t>&gt;</w:t>
      </w:r>
    </w:p>
    <w:p>
      <w:pPr>
        <w:pStyle w:val="10"/>
        <w:shd w:val="clear" w:color="auto" w:fill="FFFFFF"/>
        <w:spacing w:beforeAutospacing="0" w:afterAutospacing="0" w:line="240" w:lineRule="atLeast"/>
        <w:ind w:left="440" w:leftChars="200"/>
        <w:rPr>
          <w:rFonts w:ascii="Times New Roman" w:hAnsi="Times New Roman"/>
          <w:i/>
          <w:iCs/>
          <w:sz w:val="20"/>
          <w:szCs w:val="20"/>
        </w:rPr>
      </w:pPr>
      <w:r>
        <w:rPr>
          <w:rFonts w:ascii="Times New Roman" w:hAnsi="Times New Roman"/>
          <w:i/>
          <w:iCs/>
          <w:sz w:val="20"/>
          <w:szCs w:val="20"/>
        </w:rPr>
        <w:t>If a segment duration is configured by higher layer parameter TransmissionDurationNPRACH-NB-r17, the </w:t>
      </w:r>
      <w:r>
        <w:rPr>
          <w:rFonts w:ascii="Times New Roman" w:hAnsi="Times New Roman"/>
          <w:i/>
          <w:iCs/>
          <w:sz w:val="20"/>
          <w:szCs w:val="20"/>
        </w:rPr>
        <w:drawing>
          <wp:inline distT="0" distB="0" distL="114300" distR="114300">
            <wp:extent cx="180975" cy="142875"/>
            <wp:effectExtent l="0" t="0" r="1905" b="10160"/>
            <wp:docPr id="7"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IMG_258"/>
                    <pic:cNvPicPr>
                      <a:picLocks noChangeAspect="1"/>
                    </pic:cNvPicPr>
                  </pic:nvPicPr>
                  <pic:blipFill>
                    <a:blip r:embed="rId6"/>
                    <a:stretch>
                      <a:fillRect/>
                    </a:stretch>
                  </pic:blipFill>
                  <pic:spPr>
                    <a:xfrm>
                      <a:off x="0" y="0"/>
                      <a:ext cx="180975" cy="142875"/>
                    </a:xfrm>
                    <a:prstGeom prst="rect">
                      <a:avLst/>
                    </a:prstGeom>
                    <a:noFill/>
                    <a:ln w="9525">
                      <a:noFill/>
                    </a:ln>
                  </pic:spPr>
                </pic:pic>
              </a:graphicData>
            </a:graphic>
          </wp:inline>
        </w:drawing>
      </w:r>
      <w:r>
        <w:rPr>
          <w:rFonts w:ascii="Times New Roman" w:hAnsi="Times New Roman"/>
          <w:i/>
          <w:iCs/>
          <w:sz w:val="20"/>
          <w:szCs w:val="20"/>
        </w:rPr>
        <w:t> [36.211] shall be adjusted per segment during the transmission of narrowband physical random access preamble.</w:t>
      </w:r>
    </w:p>
    <w:p>
      <w:pPr>
        <w:pStyle w:val="10"/>
        <w:shd w:val="clear" w:color="auto" w:fill="FFFFFF"/>
        <w:spacing w:beforeAutospacing="0" w:afterAutospacing="0" w:line="240" w:lineRule="atLeast"/>
        <w:ind w:left="440" w:leftChars="200"/>
        <w:rPr>
          <w:rFonts w:ascii="Times New Roman" w:hAnsi="Times New Roman"/>
          <w:i/>
          <w:iCs/>
          <w:sz w:val="20"/>
          <w:szCs w:val="20"/>
        </w:rPr>
      </w:pPr>
      <w:r>
        <w:rPr>
          <w:rFonts w:ascii="Times New Roman" w:hAnsi="Times New Roman"/>
          <w:i/>
          <w:iCs/>
          <w:sz w:val="20"/>
          <w:szCs w:val="20"/>
        </w:rPr>
        <w:t>If a segment duration is configured by higher layer parameter TransmissionDurationNPUSCH-NB-r17, the </w:t>
      </w:r>
      <w:r>
        <w:rPr>
          <w:rFonts w:ascii="Times New Roman" w:hAnsi="Times New Roman"/>
          <w:i/>
          <w:iCs/>
          <w:sz w:val="20"/>
          <w:szCs w:val="20"/>
        </w:rPr>
        <w:drawing>
          <wp:inline distT="0" distB="0" distL="114300" distR="114300">
            <wp:extent cx="180975" cy="142875"/>
            <wp:effectExtent l="0" t="0" r="1905" b="10160"/>
            <wp:docPr id="8"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9"/>
                    <pic:cNvPicPr>
                      <a:picLocks noChangeAspect="1"/>
                    </pic:cNvPicPr>
                  </pic:nvPicPr>
                  <pic:blipFill>
                    <a:blip r:embed="rId7"/>
                    <a:stretch>
                      <a:fillRect/>
                    </a:stretch>
                  </pic:blipFill>
                  <pic:spPr>
                    <a:xfrm>
                      <a:off x="0" y="0"/>
                      <a:ext cx="180975" cy="142875"/>
                    </a:xfrm>
                    <a:prstGeom prst="rect">
                      <a:avLst/>
                    </a:prstGeom>
                    <a:noFill/>
                    <a:ln w="9525">
                      <a:noFill/>
                    </a:ln>
                  </pic:spPr>
                </pic:pic>
              </a:graphicData>
            </a:graphic>
          </wp:inline>
        </w:drawing>
      </w:r>
      <w:r>
        <w:rPr>
          <w:rFonts w:ascii="Times New Roman" w:hAnsi="Times New Roman"/>
          <w:i/>
          <w:iCs/>
          <w:sz w:val="20"/>
          <w:szCs w:val="20"/>
        </w:rPr>
        <w:t> [36.211] shall be adjusted per segment during the transmission of narrowband physical uplink shared channel.</w:t>
      </w:r>
    </w:p>
    <w:p>
      <w:pPr>
        <w:numPr>
          <w:ilvl w:val="7"/>
          <w:numId w:val="0"/>
        </w:numPr>
        <w:spacing w:after="120"/>
        <w:ind w:left="440" w:leftChars="200"/>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&lt;END TP</w:t>
      </w:r>
      <w:r>
        <w:rPr>
          <w:rFonts w:hint="eastAsia" w:ascii="Times New Roman" w:hAnsi="Times New Roman"/>
          <w:b/>
          <w:bCs/>
          <w:i/>
          <w:iCs/>
          <w:color w:val="C00000"/>
          <w:sz w:val="20"/>
          <w:szCs w:val="20"/>
          <w:shd w:val="clear" w:color="auto" w:fill="FFFF00"/>
        </w:rPr>
        <w:t>2</w:t>
      </w:r>
      <w:r>
        <w:rPr>
          <w:rFonts w:ascii="Times New Roman" w:hAnsi="Times New Roman"/>
          <w:b/>
          <w:bCs/>
          <w:i/>
          <w:iCs/>
          <w:color w:val="C00000"/>
          <w:sz w:val="20"/>
          <w:szCs w:val="20"/>
          <w:shd w:val="clear" w:color="auto" w:fill="FFFF00"/>
        </w:rPr>
        <w:t>&gt;</w:t>
      </w:r>
    </w:p>
    <w:p>
      <w:pPr>
        <w:numPr>
          <w:ilvl w:val="3"/>
          <w:numId w:val="0"/>
        </w:numPr>
        <w:spacing w:after="120"/>
        <w:ind w:left="440" w:leftChars="200"/>
        <w:rPr>
          <w:rFonts w:ascii="Times New Roman" w:hAnsi="Times New Roman" w:eastAsia="宋体"/>
          <w:bCs/>
          <w:i/>
          <w:sz w:val="20"/>
          <w:szCs w:val="20"/>
        </w:rPr>
      </w:pPr>
      <w:r>
        <w:rPr>
          <w:rFonts w:ascii="Times New Roman" w:hAnsi="Times New Roman" w:eastAsia="宋体"/>
          <w:b/>
          <w:i/>
          <w:sz w:val="20"/>
          <w:szCs w:val="20"/>
        </w:rPr>
        <w:t>Proposal</w:t>
      </w:r>
      <w:r>
        <w:rPr>
          <w:rFonts w:hint="eastAsia" w:ascii="Times New Roman" w:hAnsi="Times New Roman" w:eastAsia="宋体"/>
          <w:b/>
          <w:i/>
          <w:sz w:val="20"/>
          <w:szCs w:val="20"/>
        </w:rPr>
        <w:t xml:space="preserve"> 3: </w:t>
      </w:r>
      <w:r>
        <w:rPr>
          <w:rFonts w:hint="eastAsia" w:ascii="Times New Roman" w:hAnsi="Times New Roman" w:eastAsia="宋体"/>
          <w:bCs/>
          <w:i/>
          <w:sz w:val="20"/>
          <w:szCs w:val="20"/>
        </w:rPr>
        <w:t>An LS to RAN4 is needed to inform the RAN1 required updates on TS 36.133 to support segment pre-compensation, i.e., allow UE to adjust UL timing during an ongoing repetition period at least in NTN.</w:t>
      </w:r>
    </w:p>
    <w:p>
      <w:pPr>
        <w:numPr>
          <w:ilvl w:val="3"/>
          <w:numId w:val="0"/>
        </w:numPr>
        <w:spacing w:after="120"/>
        <w:ind w:left="440" w:leftChars="200"/>
        <w:rPr>
          <w:rFonts w:ascii="Times New Roman" w:hAnsi="Times New Roman" w:eastAsia="宋体" w:cs="Times New Roman"/>
          <w:sz w:val="20"/>
          <w:szCs w:val="20"/>
        </w:rPr>
      </w:pPr>
      <w:r>
        <w:rPr>
          <w:rFonts w:ascii="Times New Roman" w:hAnsi="Times New Roman" w:eastAsia="宋体"/>
          <w:b/>
          <w:i/>
          <w:sz w:val="20"/>
          <w:szCs w:val="20"/>
        </w:rPr>
        <w:t>Proposal</w:t>
      </w:r>
      <w:r>
        <w:rPr>
          <w:rFonts w:hint="eastAsia" w:ascii="Times New Roman" w:hAnsi="Times New Roman" w:eastAsia="宋体"/>
          <w:b/>
          <w:i/>
          <w:sz w:val="20"/>
          <w:szCs w:val="20"/>
        </w:rPr>
        <w:t xml:space="preserve"> 4: </w:t>
      </w:r>
      <w:r>
        <w:rPr>
          <w:rFonts w:hint="eastAsia" w:ascii="Times New Roman" w:hAnsi="Times New Roman" w:cs="Times New Roman"/>
          <w:i/>
          <w:sz w:val="20"/>
          <w:szCs w:val="20"/>
        </w:rPr>
        <w:t>UE should follow legacy behavior at slot boundaries due to TA adjustment if single UE capability that governs UE behavior w.r.t gaps between segments for PUSCH and NPUSCH, when the UE performs segmented pre-compensation, is not indicated.</w:t>
      </w:r>
    </w:p>
    <w:p>
      <w:pPr>
        <w:numPr>
          <w:ilvl w:val="3"/>
          <w:numId w:val="0"/>
        </w:numPr>
        <w:spacing w:after="120"/>
        <w:ind w:left="440" w:leftChars="200"/>
        <w:rPr>
          <w:rFonts w:ascii="Times New Roman" w:hAnsi="Times New Roman" w:eastAsia="宋体" w:cs="Times New Roman"/>
          <w:sz w:val="20"/>
          <w:szCs w:val="20"/>
        </w:rPr>
      </w:pPr>
      <w:r>
        <w:rPr>
          <w:rFonts w:hint="eastAsia" w:ascii="Times New Roman" w:hAnsi="Times New Roman" w:cs="Times New Roman"/>
          <w:b/>
          <w:i/>
          <w:sz w:val="20"/>
          <w:szCs w:val="20"/>
        </w:rPr>
        <w:t>Proposal</w:t>
      </w:r>
      <w:r>
        <w:rPr>
          <w:rFonts w:ascii="Times New Roman" w:hAnsi="Times New Roman" w:cs="Times New Roman"/>
          <w:b/>
          <w:i/>
          <w:sz w:val="20"/>
          <w:szCs w:val="20"/>
        </w:rPr>
        <w:t xml:space="preserve"> </w:t>
      </w:r>
      <w:r>
        <w:rPr>
          <w:rFonts w:hint="eastAsia" w:ascii="Times New Roman" w:hAnsi="Times New Roman" w:cs="Times New Roman"/>
          <w:b/>
          <w:i/>
          <w:sz w:val="20"/>
          <w:szCs w:val="20"/>
        </w:rPr>
        <w:t>5</w:t>
      </w:r>
      <w:r>
        <w:rPr>
          <w:rFonts w:ascii="Times New Roman" w:hAnsi="Times New Roman" w:cs="Times New Roman"/>
          <w:b/>
          <w:i/>
          <w:sz w:val="20"/>
          <w:szCs w:val="20"/>
        </w:rPr>
        <w:t>:</w:t>
      </w:r>
      <w:r>
        <w:rPr>
          <w:rFonts w:hint="eastAsia" w:ascii="Times New Roman" w:hAnsi="Times New Roman" w:eastAsia="宋体"/>
          <w:b/>
          <w:i/>
          <w:sz w:val="20"/>
          <w:szCs w:val="20"/>
        </w:rPr>
        <w:t xml:space="preserve"> </w:t>
      </w:r>
      <w:r>
        <w:rPr>
          <w:rFonts w:hint="eastAsia" w:ascii="Times New Roman" w:hAnsi="Times New Roman" w:cs="Times New Roman"/>
          <w:i/>
          <w:sz w:val="20"/>
          <w:szCs w:val="20"/>
        </w:rPr>
        <w:t>Support the TPs on TS 36.211 proposed by the feature leader of synchronization issue in RAN1#108e, which are as follows:</w:t>
      </w:r>
    </w:p>
    <w:p>
      <w:pPr>
        <w:pStyle w:val="49"/>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w:t>
      </w:r>
      <w:r>
        <w:rPr>
          <w:rFonts w:hint="eastAsia" w:ascii="Times New Roman" w:hAnsi="Times New Roman"/>
          <w:b/>
          <w:bCs/>
          <w:i/>
          <w:iCs/>
          <w:color w:val="C00000"/>
          <w:sz w:val="20"/>
          <w:szCs w:val="20"/>
          <w:shd w:val="clear" w:color="auto" w:fill="FFFF00"/>
        </w:rPr>
        <w:t>3</w:t>
      </w:r>
      <w:r>
        <w:rPr>
          <w:rFonts w:ascii="Times New Roman" w:hAnsi="Times New Roman"/>
          <w:b/>
          <w:bCs/>
          <w:i/>
          <w:iCs/>
          <w:color w:val="C00000"/>
          <w:sz w:val="20"/>
          <w:szCs w:val="20"/>
          <w:shd w:val="clear" w:color="auto" w:fill="FFFF00"/>
        </w:rPr>
        <w:t>, Section 5.3.4, TS 36.211&gt;</w:t>
      </w:r>
    </w:p>
    <w:p>
      <w:pPr>
        <w:ind w:left="440" w:leftChars="200"/>
        <w:rPr>
          <w:rFonts w:ascii="Times New Roman" w:hAnsi="Times New Roman" w:cs="Times New Roman"/>
          <w:i/>
          <w:iCs/>
          <w:sz w:val="20"/>
          <w:szCs w:val="20"/>
        </w:rPr>
      </w:pPr>
      <w:r>
        <w:rPr>
          <w:rFonts w:ascii="Times New Roman" w:hAnsi="Times New Roman" w:eastAsia="宋体" w:cs="Times New Roman"/>
          <w:i/>
          <w:iCs/>
          <w:sz w:val="20"/>
          <w:szCs w:val="20"/>
        </w:rPr>
        <w:t>For BL/CE</w:t>
      </w:r>
      <w:r>
        <w:rPr>
          <w:rFonts w:ascii="Times New Roman" w:hAnsi="Times New Roman" w:cs="Times New Roman"/>
          <w:i/>
          <w:iCs/>
          <w:sz w:val="20"/>
          <w:szCs w:val="20"/>
        </w:rPr>
        <w:t xml:space="preserve"> UEs communicating over NTN, for PUSCH transmission, for frame structure type 1, after a transmission duration of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segment</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time units (which may include subframes that are not BL/CE UL subframes), a transmission gap of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gap</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time units shall be counted for the PUSCH resource mapping but not used for transmission of the PUSCH, according to the UE capability ue-CE-NeedSegmentedPrecompensationGaps, as specified in 3GPP TS 36.331. The quantity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segment</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is provided by higher layers, and the quantity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gap</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is one subframe, one slot, or one symbol </w:t>
      </w:r>
      <w:r>
        <w:rPr>
          <w:rStyle w:val="15"/>
          <w:rFonts w:ascii="Times New Roman" w:hAnsi="Times New Roman" w:cs="Times New Roman"/>
          <w:b w:val="0"/>
          <w:bCs w:val="0"/>
          <w:i/>
          <w:iCs/>
          <w:sz w:val="20"/>
          <w:szCs w:val="20"/>
        </w:rPr>
        <w:t>may be</w:t>
      </w:r>
      <w:r>
        <w:rPr>
          <w:rFonts w:ascii="Times New Roman" w:hAnsi="Times New Roman" w:cs="Times New Roman"/>
          <w:i/>
          <w:iCs/>
          <w:sz w:val="20"/>
          <w:szCs w:val="20"/>
        </w:rPr>
        <w:t> </w:t>
      </w:r>
      <w:r>
        <w:rPr>
          <w:rStyle w:val="15"/>
          <w:rFonts w:ascii="Times New Roman" w:hAnsi="Times New Roman" w:cs="Times New Roman"/>
          <w:b w:val="0"/>
          <w:bCs w:val="0"/>
          <w:i/>
          <w:iCs/>
          <w:sz w:val="20"/>
          <w:szCs w:val="20"/>
        </w:rPr>
        <w:t> configured by network based on the   quantity  supported by the UE if indicated by UE in ue-CE-NeedSegmentedPrecompensationGaps</w:t>
      </w:r>
      <w:r>
        <w:rPr>
          <w:rFonts w:ascii="Times New Roman" w:hAnsi="Times New Roman" w:cs="Times New Roman"/>
          <w:i/>
          <w:iCs/>
          <w:sz w:val="20"/>
          <w:szCs w:val="20"/>
        </w:rPr>
        <w:t xml:space="preserve">. </w:t>
      </w:r>
    </w:p>
    <w:p>
      <w:pPr>
        <w:pStyle w:val="49"/>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&lt;END TP</w:t>
      </w:r>
      <w:r>
        <w:rPr>
          <w:rFonts w:hint="eastAsia" w:ascii="Times New Roman" w:hAnsi="Times New Roman"/>
          <w:b/>
          <w:bCs/>
          <w:i/>
          <w:iCs/>
          <w:color w:val="C00000"/>
          <w:sz w:val="20"/>
          <w:szCs w:val="20"/>
          <w:shd w:val="clear" w:color="auto" w:fill="FFFF00"/>
        </w:rPr>
        <w:t>3</w:t>
      </w:r>
      <w:r>
        <w:rPr>
          <w:rFonts w:ascii="Times New Roman" w:hAnsi="Times New Roman"/>
          <w:b/>
          <w:bCs/>
          <w:i/>
          <w:iCs/>
          <w:color w:val="C00000"/>
          <w:sz w:val="20"/>
          <w:szCs w:val="20"/>
          <w:shd w:val="clear" w:color="auto" w:fill="FFFF00"/>
        </w:rPr>
        <w:t>&gt;</w:t>
      </w:r>
    </w:p>
    <w:p>
      <w:pPr>
        <w:pStyle w:val="49"/>
        <w:jc w:val="center"/>
        <w:rPr>
          <w:rFonts w:ascii="Times New Roman" w:hAnsi="Times New Roman"/>
          <w:i/>
          <w:iCs/>
          <w:sz w:val="20"/>
          <w:szCs w:val="20"/>
        </w:rPr>
      </w:pPr>
      <w:r>
        <w:rPr>
          <w:rFonts w:ascii="Times New Roman" w:hAnsi="Times New Roman"/>
          <w:b/>
          <w:bCs/>
          <w:i/>
          <w:iCs/>
          <w:color w:val="C00000"/>
          <w:sz w:val="20"/>
          <w:szCs w:val="20"/>
          <w:shd w:val="clear" w:color="auto" w:fill="FFFF00"/>
        </w:rPr>
        <w:t>&lt;TP</w:t>
      </w:r>
      <w:r>
        <w:rPr>
          <w:rFonts w:hint="eastAsia" w:ascii="Times New Roman" w:hAnsi="Times New Roman"/>
          <w:b/>
          <w:bCs/>
          <w:i/>
          <w:iCs/>
          <w:color w:val="C00000"/>
          <w:sz w:val="20"/>
          <w:szCs w:val="20"/>
          <w:shd w:val="clear" w:color="auto" w:fill="FFFF00"/>
        </w:rPr>
        <w:t>4</w:t>
      </w:r>
      <w:r>
        <w:rPr>
          <w:rFonts w:ascii="Times New Roman" w:hAnsi="Times New Roman"/>
          <w:b/>
          <w:bCs/>
          <w:i/>
          <w:iCs/>
          <w:color w:val="C00000"/>
          <w:sz w:val="20"/>
          <w:szCs w:val="20"/>
          <w:shd w:val="clear" w:color="auto" w:fill="FFFF00"/>
        </w:rPr>
        <w:t>, Section 10.1.3.6, TS 36.211&gt;</w:t>
      </w:r>
    </w:p>
    <w:p>
      <w:pPr>
        <w:ind w:left="440" w:leftChars="200"/>
        <w:rPr>
          <w:rFonts w:ascii="Times New Roman" w:hAnsi="Times New Roman"/>
          <w:i/>
          <w:iCs/>
          <w:sz w:val="20"/>
          <w:szCs w:val="20"/>
        </w:rPr>
      </w:pPr>
      <w:r>
        <w:rPr>
          <w:rFonts w:ascii="Times New Roman" w:hAnsi="Times New Roman" w:cs="Times New Roman"/>
          <w:i/>
          <w:iCs/>
          <w:sz w:val="20"/>
          <w:szCs w:val="20"/>
        </w:rPr>
        <w:t xml:space="preserve">For a UE communicating over NTN, after transmissions and/or postponements due to NPRACH of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segment</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time units, for frame structure type 1, a transmission gap of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gap</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time units shall be shall be counted for the NPUSCH resource mapping but not used for transmission of the PUSCH according to the UE capability ue-NBIOT-NeedSegmentedPrecompensationGaps , as specified in 3GPP TS 36.331. The quantity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segment</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is provided by higher layers, and the quantity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gap</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is one subframe, one slot or 2 slots, or one symbol </w:t>
      </w:r>
      <w:r>
        <w:rPr>
          <w:rStyle w:val="15"/>
          <w:rFonts w:ascii="Times New Roman" w:hAnsi="Times New Roman" w:cs="Times New Roman"/>
          <w:b w:val="0"/>
          <w:bCs w:val="0"/>
          <w:i/>
          <w:iCs/>
          <w:sz w:val="20"/>
          <w:szCs w:val="20"/>
        </w:rPr>
        <w:t>may be</w:t>
      </w:r>
      <w:r>
        <w:rPr>
          <w:rFonts w:ascii="Times New Roman" w:hAnsi="Times New Roman" w:cs="Times New Roman"/>
          <w:i/>
          <w:iCs/>
          <w:sz w:val="20"/>
          <w:szCs w:val="20"/>
        </w:rPr>
        <w:t> </w:t>
      </w:r>
      <w:r>
        <w:rPr>
          <w:rStyle w:val="15"/>
          <w:rFonts w:ascii="Times New Roman" w:hAnsi="Times New Roman" w:cs="Times New Roman"/>
          <w:b w:val="0"/>
          <w:bCs w:val="0"/>
          <w:i/>
          <w:iCs/>
          <w:sz w:val="20"/>
          <w:szCs w:val="20"/>
        </w:rPr>
        <w:t xml:space="preserve"> configured by network based on the quantity  supported by the UE if indicated by UE in ue-CE-NeedSegmentedPrecompensationGaps</w:t>
      </w:r>
      <w:r>
        <w:rPr>
          <w:rFonts w:ascii="Times New Roman" w:hAnsi="Times New Roman" w:cs="Times New Roman"/>
          <w:i/>
          <w:iCs/>
          <w:sz w:val="20"/>
          <w:szCs w:val="20"/>
        </w:rPr>
        <w:t xml:space="preserve">. </w:t>
      </w:r>
      <w:r>
        <w:rPr>
          <w:rFonts w:ascii="Times New Roman" w:hAnsi="Times New Roman"/>
          <w:i/>
          <w:iCs/>
          <w:sz w:val="20"/>
          <w:szCs w:val="20"/>
        </w:rPr>
        <w:t> </w:t>
      </w:r>
    </w:p>
    <w:p>
      <w:pPr>
        <w:pStyle w:val="49"/>
        <w:jc w:val="center"/>
        <w:rPr>
          <w:rFonts w:ascii="Times New Roman" w:hAnsi="Times New Roman"/>
          <w:i/>
          <w:iCs/>
          <w:color w:val="000000"/>
          <w:sz w:val="20"/>
          <w:szCs w:val="20"/>
        </w:rPr>
      </w:pPr>
      <w:r>
        <w:rPr>
          <w:rFonts w:ascii="Times New Roman" w:hAnsi="Times New Roman"/>
          <w:b/>
          <w:bCs/>
          <w:i/>
          <w:iCs/>
          <w:color w:val="C00000"/>
          <w:sz w:val="20"/>
          <w:szCs w:val="20"/>
          <w:shd w:val="clear" w:color="auto" w:fill="FFFF00"/>
        </w:rPr>
        <w:t>&lt;END TP</w:t>
      </w:r>
      <w:r>
        <w:rPr>
          <w:rFonts w:hint="eastAsia" w:ascii="Times New Roman" w:hAnsi="Times New Roman"/>
          <w:b/>
          <w:bCs/>
          <w:i/>
          <w:iCs/>
          <w:color w:val="C00000"/>
          <w:sz w:val="20"/>
          <w:szCs w:val="20"/>
          <w:shd w:val="clear" w:color="auto" w:fill="FFFF00"/>
        </w:rPr>
        <w:t>4</w:t>
      </w:r>
      <w:r>
        <w:rPr>
          <w:rFonts w:ascii="Times New Roman" w:hAnsi="Times New Roman"/>
          <w:b/>
          <w:bCs/>
          <w:i/>
          <w:iCs/>
          <w:color w:val="C00000"/>
          <w:sz w:val="20"/>
          <w:szCs w:val="20"/>
          <w:shd w:val="clear" w:color="auto" w:fill="FFFF00"/>
        </w:rPr>
        <w:t>&gt;</w:t>
      </w:r>
    </w:p>
    <w:p>
      <w:pPr>
        <w:pStyle w:val="49"/>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&lt;TP</w:t>
      </w:r>
      <w:r>
        <w:rPr>
          <w:rFonts w:hint="eastAsia" w:ascii="Times New Roman" w:hAnsi="Times New Roman"/>
          <w:b/>
          <w:bCs/>
          <w:i/>
          <w:iCs/>
          <w:color w:val="C00000"/>
          <w:sz w:val="20"/>
          <w:szCs w:val="20"/>
          <w:shd w:val="clear" w:color="auto" w:fill="FFFF00"/>
        </w:rPr>
        <w:t>5</w:t>
      </w:r>
      <w:r>
        <w:rPr>
          <w:rFonts w:ascii="Times New Roman" w:hAnsi="Times New Roman"/>
          <w:b/>
          <w:bCs/>
          <w:i/>
          <w:iCs/>
          <w:color w:val="C00000"/>
          <w:sz w:val="20"/>
          <w:szCs w:val="20"/>
          <w:shd w:val="clear" w:color="auto" w:fill="FFFF00"/>
        </w:rPr>
        <w:t>, Section 5.3.4, TS 36.211&gt;</w:t>
      </w:r>
    </w:p>
    <w:p>
      <w:pPr>
        <w:ind w:left="440" w:leftChars="200"/>
        <w:rPr>
          <w:rFonts w:ascii="Times New Roman" w:hAnsi="Times New Roman" w:cs="Times New Roman"/>
          <w:i/>
          <w:iCs/>
          <w:sz w:val="20"/>
          <w:szCs w:val="20"/>
        </w:rPr>
      </w:pPr>
      <w:r>
        <w:rPr>
          <w:rFonts w:ascii="Times New Roman" w:hAnsi="Times New Roman" w:cs="Times New Roman"/>
          <w:i/>
          <w:iCs/>
          <w:sz w:val="20"/>
          <w:szCs w:val="20"/>
        </w:rPr>
        <w:t xml:space="preserve">For BL/CE UEs communicating over NTN, for PUSCH transmission, for frame structure type 1, after a transmission duration of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segment</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time units (which may include subframes that are not BL/CE UL subframes), a transmission gap of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gap</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time units shall be counted for the PUCCH resource mapping but not used for transmission of the PUCCH, according to the UE capability ue-CE-NeedSegmentedPrecompensationGaps, as specified in 3GPP TS 36.331. The quantity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segment</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is provided by higher layers, and the quantity </w:t>
      </w:r>
      <m:oMath>
        <m:sSubSup>
          <m:sSubSupPr>
            <m:ctrlPr>
              <w:rPr>
                <w:rFonts w:ascii="Cambria Math" w:hAnsi="Cambria Math" w:cs="Times New Roman"/>
                <w:i/>
                <w:iCs/>
                <w:sz w:val="20"/>
                <w:szCs w:val="20"/>
              </w:rPr>
            </m:ctrlPr>
          </m:sSubSupPr>
          <m:e>
            <m:r>
              <m:rPr/>
              <w:rPr>
                <w:rFonts w:ascii="Cambria Math" w:hAnsi="Cambria Math" w:cs="Times New Roman"/>
                <w:sz w:val="20"/>
                <w:szCs w:val="20"/>
              </w:rPr>
              <m:t>N</m:t>
            </m:r>
            <m:ctrlPr>
              <w:rPr>
                <w:rFonts w:ascii="Cambria Math" w:hAnsi="Cambria Math" w:cs="Times New Roman"/>
                <w:i/>
                <w:iCs/>
                <w:sz w:val="20"/>
                <w:szCs w:val="20"/>
              </w:rPr>
            </m:ctrlPr>
          </m:e>
          <m:sub>
            <m:r>
              <m:rPr/>
              <w:rPr>
                <w:rFonts w:ascii="Cambria Math" w:hAnsi="Cambria Math" w:cs="Times New Roman"/>
                <w:sz w:val="20"/>
                <w:szCs w:val="20"/>
              </w:rPr>
              <m:t>gap</m:t>
            </m:r>
            <m:ctrlPr>
              <w:rPr>
                <w:rFonts w:ascii="Cambria Math" w:hAnsi="Cambria Math" w:cs="Times New Roman"/>
                <w:i/>
                <w:iCs/>
                <w:sz w:val="20"/>
                <w:szCs w:val="20"/>
              </w:rPr>
            </m:ctrlPr>
          </m:sub>
          <m:sup>
            <m:r>
              <m:rPr/>
              <w:rPr>
                <w:rFonts w:ascii="Cambria Math" w:hAnsi="Cambria Math" w:cs="Times New Roman"/>
                <w:sz w:val="20"/>
                <w:szCs w:val="20"/>
              </w:rPr>
              <m:t>precompensation</m:t>
            </m:r>
            <m:ctrlPr>
              <w:rPr>
                <w:rFonts w:ascii="Cambria Math" w:hAnsi="Cambria Math" w:cs="Times New Roman"/>
                <w:i/>
                <w:iCs/>
                <w:sz w:val="20"/>
                <w:szCs w:val="20"/>
              </w:rPr>
            </m:ctrlPr>
          </m:sup>
        </m:sSubSup>
      </m:oMath>
      <w:r>
        <w:rPr>
          <w:rFonts w:ascii="Times New Roman" w:hAnsi="Times New Roman" w:cs="Times New Roman"/>
          <w:i/>
          <w:iCs/>
          <w:sz w:val="20"/>
          <w:szCs w:val="20"/>
        </w:rPr>
        <w:t xml:space="preserve"> is one subframe, one slot, or one symbol </w:t>
      </w:r>
      <w:r>
        <w:rPr>
          <w:rStyle w:val="15"/>
          <w:rFonts w:ascii="Times New Roman" w:hAnsi="Times New Roman" w:cs="Times New Roman"/>
          <w:b w:val="0"/>
          <w:bCs w:val="0"/>
          <w:i/>
          <w:iCs/>
          <w:sz w:val="20"/>
          <w:szCs w:val="20"/>
        </w:rPr>
        <w:t>may be</w:t>
      </w:r>
      <w:r>
        <w:rPr>
          <w:rFonts w:ascii="Times New Roman" w:hAnsi="Times New Roman" w:cs="Times New Roman"/>
          <w:i/>
          <w:iCs/>
          <w:sz w:val="20"/>
          <w:szCs w:val="20"/>
        </w:rPr>
        <w:t> </w:t>
      </w:r>
      <w:r>
        <w:rPr>
          <w:rStyle w:val="15"/>
          <w:rFonts w:ascii="Times New Roman" w:hAnsi="Times New Roman" w:cs="Times New Roman"/>
          <w:b w:val="0"/>
          <w:bCs w:val="0"/>
          <w:i/>
          <w:iCs/>
          <w:sz w:val="20"/>
          <w:szCs w:val="20"/>
        </w:rPr>
        <w:t> configured by network based on the quantity  supported by the UE if indicated by UE in ue-CE-NeedSegmentedPrecompensationGaps</w:t>
      </w:r>
      <w:r>
        <w:rPr>
          <w:rFonts w:ascii="Times New Roman" w:hAnsi="Times New Roman" w:cs="Times New Roman"/>
          <w:i/>
          <w:iCs/>
          <w:sz w:val="20"/>
          <w:szCs w:val="20"/>
        </w:rPr>
        <w:t xml:space="preserve">. </w:t>
      </w:r>
    </w:p>
    <w:p>
      <w:pPr>
        <w:numPr>
          <w:ilvl w:val="7"/>
          <w:numId w:val="0"/>
        </w:numPr>
        <w:spacing w:after="120"/>
        <w:ind w:left="440" w:leftChars="200"/>
        <w:jc w:val="center"/>
        <w:rPr>
          <w:rFonts w:ascii="Times New Roman" w:hAnsi="Times New Roman"/>
          <w:b/>
          <w:bCs/>
          <w:i/>
          <w:iCs/>
          <w:color w:val="C00000"/>
          <w:sz w:val="20"/>
          <w:szCs w:val="20"/>
          <w:shd w:val="clear" w:color="auto" w:fill="FFFF00"/>
        </w:rPr>
      </w:pPr>
      <w:r>
        <w:rPr>
          <w:rFonts w:ascii="Times New Roman" w:hAnsi="Times New Roman"/>
          <w:b/>
          <w:bCs/>
          <w:i/>
          <w:iCs/>
          <w:color w:val="C00000"/>
          <w:sz w:val="20"/>
          <w:szCs w:val="20"/>
          <w:shd w:val="clear" w:color="auto" w:fill="FFFF00"/>
        </w:rPr>
        <w:t>&lt;END TP</w:t>
      </w:r>
      <w:r>
        <w:rPr>
          <w:rFonts w:hint="eastAsia" w:ascii="Times New Roman" w:hAnsi="Times New Roman"/>
          <w:b/>
          <w:bCs/>
          <w:i/>
          <w:iCs/>
          <w:color w:val="C00000"/>
          <w:sz w:val="20"/>
          <w:szCs w:val="20"/>
          <w:shd w:val="clear" w:color="auto" w:fill="FFFF00"/>
        </w:rPr>
        <w:t>5</w:t>
      </w:r>
      <w:r>
        <w:rPr>
          <w:rFonts w:ascii="Times New Roman" w:hAnsi="Times New Roman"/>
          <w:b/>
          <w:bCs/>
          <w:i/>
          <w:iCs/>
          <w:color w:val="C00000"/>
          <w:sz w:val="20"/>
          <w:szCs w:val="20"/>
          <w:shd w:val="clear" w:color="auto" w:fill="FFFF00"/>
        </w:rPr>
        <w:t>&gt;</w:t>
      </w:r>
    </w:p>
    <w:p>
      <w:pPr>
        <w:numPr>
          <w:ilvl w:val="3"/>
          <w:numId w:val="0"/>
        </w:numPr>
        <w:spacing w:after="120"/>
        <w:ind w:left="440" w:leftChars="200"/>
        <w:rPr>
          <w:rFonts w:ascii="Times New Roman" w:hAnsi="Times New Roman"/>
          <w:b/>
          <w:bCs/>
          <w:i/>
          <w:iCs/>
          <w:color w:val="C00000"/>
          <w:sz w:val="20"/>
          <w:szCs w:val="20"/>
          <w:shd w:val="clear" w:color="auto" w:fill="FFFF00"/>
        </w:rPr>
      </w:pPr>
      <w:r>
        <w:rPr>
          <w:rFonts w:ascii="Times New Roman" w:hAnsi="Times New Roman" w:eastAsia="宋体"/>
          <w:b/>
          <w:i/>
          <w:sz w:val="20"/>
          <w:szCs w:val="20"/>
        </w:rPr>
        <w:t>Proposal</w:t>
      </w:r>
      <w:r>
        <w:rPr>
          <w:rFonts w:hint="eastAsia" w:ascii="Times New Roman" w:hAnsi="Times New Roman" w:eastAsia="宋体"/>
          <w:b/>
          <w:i/>
          <w:sz w:val="20"/>
          <w:szCs w:val="20"/>
        </w:rPr>
        <w:t xml:space="preserve"> 6: </w:t>
      </w:r>
      <w:r>
        <w:rPr>
          <w:rFonts w:hint="eastAsia" w:ascii="Times New Roman" w:hAnsi="Times New Roman" w:cs="Times New Roman"/>
          <w:i/>
          <w:sz w:val="20"/>
          <w:szCs w:val="20"/>
        </w:rPr>
        <w:t>The NTN-specific SIB is expected to be updated per SI window in IoT-NTN.</w:t>
      </w:r>
    </w:p>
    <w:p>
      <w:pPr>
        <w:pStyle w:val="2"/>
        <w:keepNext w:val="0"/>
        <w:keepLines w:val="0"/>
        <w:widowControl w:val="0"/>
        <w:numPr>
          <w:ilvl w:val="0"/>
          <w:numId w:val="0"/>
        </w:numPr>
        <w:pBdr>
          <w:top w:val="none" w:color="auto" w:sz="0" w:space="0"/>
        </w:pBdr>
        <w:tabs>
          <w:tab w:val="left" w:pos="432"/>
          <w:tab w:val="left" w:pos="2630"/>
        </w:tabs>
        <w:overflowPunct/>
        <w:snapToGrid w:val="0"/>
        <w:spacing w:before="120" w:beforeLines="50" w:after="120" w:afterLines="50"/>
        <w:ind w:left="432" w:hanging="432"/>
        <w:textAlignment w:val="auto"/>
        <w:rPr>
          <w:rFonts w:eastAsia="黑体" w:cs="Times New Roman"/>
          <w:b/>
          <w:bCs/>
          <w:sz w:val="28"/>
          <w:szCs w:val="30"/>
          <w:lang w:val="en-US"/>
        </w:rPr>
      </w:pPr>
      <w:r>
        <w:rPr>
          <w:rFonts w:hint="eastAsia" w:eastAsia="黑体" w:cs="Times New Roman"/>
          <w:b/>
          <w:bCs/>
          <w:sz w:val="28"/>
          <w:szCs w:val="30"/>
          <w:lang w:val="en-US"/>
        </w:rPr>
        <w:t>Reference</w:t>
      </w:r>
      <w:r>
        <w:rPr>
          <w:rFonts w:eastAsia="黑体" w:cs="Times New Roman"/>
          <w:b/>
          <w:bCs/>
          <w:sz w:val="28"/>
          <w:szCs w:val="30"/>
          <w:lang w:val="en-US"/>
        </w:rPr>
        <w:tab/>
      </w:r>
    </w:p>
    <w:p>
      <w:pPr>
        <w:pStyle w:val="27"/>
        <w:numPr>
          <w:ilvl w:val="0"/>
          <w:numId w:val="8"/>
        </w:numPr>
        <w:spacing w:after="0" w:line="240" w:lineRule="auto"/>
        <w:ind w:left="505" w:hanging="505"/>
        <w:rPr>
          <w:rFonts w:ascii="Times New Roman" w:hAnsi="Times New Roman"/>
          <w:sz w:val="20"/>
          <w:szCs w:val="20"/>
        </w:rPr>
      </w:pPr>
      <w:bookmarkStart w:id="3" w:name="_Ref32552"/>
      <w:r>
        <w:rPr>
          <w:rFonts w:hint="eastAsia" w:ascii="Times New Roman" w:hAnsi="Times New Roman"/>
          <w:sz w:val="20"/>
          <w:szCs w:val="20"/>
        </w:rPr>
        <w:t>R1-2202915 Summary #4 of AI 8.14.1</w:t>
      </w:r>
      <w:r>
        <w:rPr>
          <w:rFonts w:hint="eastAsia" w:ascii="Times New Roman" w:hAnsi="Times New Roman"/>
          <w:sz w:val="20"/>
          <w:szCs w:val="20"/>
        </w:rPr>
        <w:tab/>
      </w:r>
      <w:r>
        <w:rPr>
          <w:rFonts w:hint="eastAsia" w:ascii="Times New Roman" w:hAnsi="Times New Roman"/>
          <w:sz w:val="20"/>
          <w:szCs w:val="20"/>
        </w:rPr>
        <w:t>Enhancements to time and frequency synchronization,</w:t>
      </w:r>
      <w:r>
        <w:rPr>
          <w:rFonts w:ascii="Times New Roman" w:hAnsi="Times New Roman"/>
          <w:sz w:val="20"/>
          <w:szCs w:val="20"/>
        </w:rPr>
        <w:t xml:space="preserve"> RAN</w:t>
      </w:r>
      <w:r>
        <w:rPr>
          <w:rFonts w:hint="eastAsia" w:ascii="Times New Roman" w:hAnsi="Times New Roman"/>
          <w:sz w:val="20"/>
          <w:szCs w:val="20"/>
        </w:rPr>
        <w:t>1</w:t>
      </w:r>
      <w:r>
        <w:rPr>
          <w:rFonts w:ascii="Times New Roman" w:hAnsi="Times New Roman"/>
          <w:sz w:val="20"/>
          <w:szCs w:val="20"/>
        </w:rPr>
        <w:t>#</w:t>
      </w:r>
      <w:r>
        <w:rPr>
          <w:rFonts w:hint="eastAsia" w:ascii="Times New Roman" w:hAnsi="Times New Roman"/>
          <w:sz w:val="20"/>
          <w:szCs w:val="20"/>
        </w:rPr>
        <w:t>108e</w:t>
      </w:r>
      <w:bookmarkEnd w:id="3"/>
    </w:p>
    <w:p>
      <w:pPr>
        <w:pStyle w:val="27"/>
        <w:numPr>
          <w:ilvl w:val="0"/>
          <w:numId w:val="8"/>
        </w:numPr>
        <w:spacing w:after="0" w:line="240" w:lineRule="auto"/>
        <w:ind w:left="505" w:hanging="505"/>
        <w:rPr>
          <w:rFonts w:ascii="Times New Roman" w:hAnsi="Times New Roman"/>
          <w:sz w:val="20"/>
          <w:szCs w:val="20"/>
        </w:rPr>
      </w:pPr>
      <w:bookmarkStart w:id="4" w:name="_Ref1095"/>
      <w:r>
        <w:rPr>
          <w:rFonts w:hint="eastAsia" w:ascii="Times New Roman" w:hAnsi="Times New Roman"/>
          <w:sz w:val="20"/>
          <w:szCs w:val="20"/>
        </w:rPr>
        <w:t>R1-2112803 Summary #4 of AI 8.15.1</w:t>
      </w:r>
      <w:r>
        <w:rPr>
          <w:rFonts w:hint="eastAsia" w:ascii="Times New Roman" w:hAnsi="Times New Roman"/>
          <w:sz w:val="20"/>
          <w:szCs w:val="20"/>
        </w:rPr>
        <w:tab/>
      </w:r>
      <w:r>
        <w:rPr>
          <w:rFonts w:hint="eastAsia" w:ascii="Times New Roman" w:hAnsi="Times New Roman"/>
          <w:sz w:val="20"/>
          <w:szCs w:val="20"/>
        </w:rPr>
        <w:t>Enhancements to time and frequency synchronization,</w:t>
      </w:r>
      <w:r>
        <w:rPr>
          <w:rFonts w:ascii="Times New Roman" w:hAnsi="Times New Roman"/>
          <w:sz w:val="20"/>
          <w:szCs w:val="20"/>
        </w:rPr>
        <w:t xml:space="preserve"> RAN</w:t>
      </w:r>
      <w:r>
        <w:rPr>
          <w:rFonts w:hint="eastAsia" w:ascii="Times New Roman" w:hAnsi="Times New Roman"/>
          <w:sz w:val="20"/>
          <w:szCs w:val="20"/>
        </w:rPr>
        <w:t>1</w:t>
      </w:r>
      <w:r>
        <w:rPr>
          <w:rFonts w:ascii="Times New Roman" w:hAnsi="Times New Roman"/>
          <w:sz w:val="20"/>
          <w:szCs w:val="20"/>
        </w:rPr>
        <w:t>#</w:t>
      </w:r>
      <w:r>
        <w:rPr>
          <w:rFonts w:hint="eastAsia" w:ascii="Times New Roman" w:hAnsi="Times New Roman"/>
          <w:sz w:val="20"/>
          <w:szCs w:val="20"/>
        </w:rPr>
        <w:t>107e</w:t>
      </w:r>
      <w:bookmarkEnd w:id="4"/>
    </w:p>
    <w:p>
      <w:pPr>
        <w:pStyle w:val="27"/>
        <w:numPr>
          <w:ilvl w:val="0"/>
          <w:numId w:val="8"/>
        </w:numPr>
        <w:spacing w:after="0" w:line="240" w:lineRule="auto"/>
        <w:ind w:left="505" w:hanging="505"/>
        <w:rPr>
          <w:rFonts w:ascii="Times New Roman" w:hAnsi="Times New Roman"/>
          <w:sz w:val="20"/>
          <w:szCs w:val="20"/>
        </w:rPr>
      </w:pPr>
      <w:bookmarkStart w:id="5" w:name="_Ref1460"/>
      <w:r>
        <w:rPr>
          <w:rFonts w:hint="eastAsia" w:ascii="Times New Roman" w:hAnsi="Times New Roman"/>
          <w:sz w:val="20"/>
          <w:szCs w:val="20"/>
        </w:rPr>
        <w:t>R1-2202908 FL Summary #4: Maintenance on UL time and frequency synchronization for NR NTN,</w:t>
      </w:r>
      <w:r>
        <w:rPr>
          <w:rFonts w:ascii="Times New Roman" w:hAnsi="Times New Roman"/>
          <w:sz w:val="20"/>
          <w:szCs w:val="20"/>
        </w:rPr>
        <w:t xml:space="preserve"> RAN</w:t>
      </w:r>
      <w:r>
        <w:rPr>
          <w:rFonts w:hint="eastAsia" w:ascii="Times New Roman" w:hAnsi="Times New Roman"/>
          <w:sz w:val="20"/>
          <w:szCs w:val="20"/>
        </w:rPr>
        <w:t>1</w:t>
      </w:r>
      <w:r>
        <w:rPr>
          <w:rFonts w:ascii="Times New Roman" w:hAnsi="Times New Roman"/>
          <w:sz w:val="20"/>
          <w:szCs w:val="20"/>
        </w:rPr>
        <w:t>#</w:t>
      </w:r>
      <w:r>
        <w:rPr>
          <w:rFonts w:hint="eastAsia" w:ascii="Times New Roman" w:hAnsi="Times New Roman"/>
          <w:sz w:val="20"/>
          <w:szCs w:val="20"/>
        </w:rPr>
        <w:t>108e</w:t>
      </w:r>
      <w:bookmarkEnd w:id="5"/>
    </w:p>
    <w:p>
      <w:pPr>
        <w:pStyle w:val="27"/>
        <w:spacing w:after="0" w:line="240" w:lineRule="auto"/>
        <w:ind w:left="0"/>
        <w:rPr>
          <w:rFonts w:ascii="Times New Roman" w:hAnsi="Times New Roman"/>
          <w:sz w:val="20"/>
          <w:szCs w:val="20"/>
        </w:rPr>
      </w:pPr>
    </w:p>
    <w:p>
      <w:pPr>
        <w:pStyle w:val="27"/>
        <w:numPr>
          <w:ilvl w:val="255"/>
          <w:numId w:val="0"/>
        </w:numPr>
        <w:spacing w:after="0" w:line="20" w:lineRule="exact"/>
        <w:ind w:left="720"/>
        <w:rPr>
          <w:rFonts w:ascii="Times New Roman" w:hAnsi="Times New Roman"/>
          <w:sz w:val="2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Courier New">
    <w:panose1 w:val="02070309020205020404"/>
    <w:charset w:val="00"/>
    <w:family w:val="modern"/>
    <w:pitch w:val="default"/>
    <w:sig w:usb0="E0002EFF" w:usb1="C0007843" w:usb2="00000009" w:usb3="00000000" w:csb0="400001FF" w:csb1="FFFF0000"/>
  </w:font>
  <w:font w:name="serif">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B18939"/>
    <w:multiLevelType w:val="singleLevel"/>
    <w:tmpl w:val="A9B18939"/>
    <w:lvl w:ilvl="0" w:tentative="0">
      <w:start w:val="1"/>
      <w:numFmt w:val="bullet"/>
      <w:lvlText w:val=""/>
      <w:lvlJc w:val="left"/>
      <w:pPr>
        <w:ind w:left="42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6" w:hanging="576"/>
      </w:pPr>
      <w:rPr>
        <w:rFonts w:hint="default"/>
        <w:sz w:val="24"/>
        <w:szCs w:val="24"/>
      </w:rPr>
    </w:lvl>
    <w:lvl w:ilvl="2" w:tentative="0">
      <w:start w:val="1"/>
      <w:numFmt w:val="decimal"/>
      <w:lvlText w:val="%1.%2.%3"/>
      <w:lvlJc w:val="left"/>
      <w:pPr>
        <w:ind w:left="720" w:hanging="720"/>
      </w:pPr>
      <w:rPr>
        <w:rFonts w:hint="default"/>
      </w:rPr>
    </w:lvl>
    <w:lvl w:ilvl="3" w:tentative="0">
      <w:start w:val="1"/>
      <w:numFmt w:val="decimal"/>
      <w:lvlText w:val="%1.%2.%3.%4"/>
      <w:lvlJc w:val="left"/>
      <w:pPr>
        <w:ind w:left="6251" w:hanging="864"/>
      </w:pPr>
      <w:rPr>
        <w:rFonts w:hint="default"/>
      </w:rPr>
    </w:lvl>
    <w:lvl w:ilvl="4" w:tentative="0">
      <w:start w:val="1"/>
      <w:numFmt w:val="decimal"/>
      <w:lvlText w:val="%1.%2.%3.%4.%5"/>
      <w:lvlJc w:val="left"/>
      <w:pPr>
        <w:ind w:left="5119"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2">
    <w:nsid w:val="10997AE0"/>
    <w:multiLevelType w:val="multilevel"/>
    <w:tmpl w:val="10997AE0"/>
    <w:lvl w:ilvl="0" w:tentative="0">
      <w:start w:val="1"/>
      <w:numFmt w:val="bullet"/>
      <w:lvlText w:val=""/>
      <w:lvlJc w:val="left"/>
      <w:pPr>
        <w:ind w:left="860" w:hanging="420"/>
      </w:pPr>
      <w:rPr>
        <w:rFonts w:hint="default" w:ascii="Wingdings" w:hAnsi="Wingdings"/>
      </w:rPr>
    </w:lvl>
    <w:lvl w:ilvl="1" w:tentative="0">
      <w:start w:val="1"/>
      <w:numFmt w:val="bullet"/>
      <w:lvlText w:val=""/>
      <w:lvlJc w:val="left"/>
      <w:pPr>
        <w:ind w:left="1280" w:hanging="420"/>
      </w:pPr>
      <w:rPr>
        <w:rFonts w:hint="default" w:ascii="Wingdings" w:hAnsi="Wingdings"/>
      </w:rPr>
    </w:lvl>
    <w:lvl w:ilvl="2" w:tentative="0">
      <w:start w:val="1"/>
      <w:numFmt w:val="bullet"/>
      <w:lvlText w:val=""/>
      <w:lvlJc w:val="left"/>
      <w:pPr>
        <w:ind w:left="1700" w:hanging="420"/>
      </w:pPr>
      <w:rPr>
        <w:rFonts w:hint="default" w:ascii="Wingdings" w:hAnsi="Wingdings"/>
      </w:rPr>
    </w:lvl>
    <w:lvl w:ilvl="3" w:tentative="0">
      <w:start w:val="1"/>
      <w:numFmt w:val="bullet"/>
      <w:lvlText w:val=""/>
      <w:lvlJc w:val="left"/>
      <w:pPr>
        <w:ind w:left="2120" w:hanging="420"/>
      </w:pPr>
      <w:rPr>
        <w:rFonts w:hint="default" w:ascii="Wingdings" w:hAnsi="Wingdings"/>
      </w:rPr>
    </w:lvl>
    <w:lvl w:ilvl="4" w:tentative="0">
      <w:start w:val="1"/>
      <w:numFmt w:val="bullet"/>
      <w:lvlText w:val=""/>
      <w:lvlJc w:val="left"/>
      <w:pPr>
        <w:ind w:left="2540" w:hanging="420"/>
      </w:pPr>
      <w:rPr>
        <w:rFonts w:hint="default" w:ascii="Wingdings" w:hAnsi="Wingdings"/>
      </w:rPr>
    </w:lvl>
    <w:lvl w:ilvl="5" w:tentative="0">
      <w:start w:val="1"/>
      <w:numFmt w:val="bullet"/>
      <w:lvlText w:val=""/>
      <w:lvlJc w:val="left"/>
      <w:pPr>
        <w:ind w:left="2960" w:hanging="420"/>
      </w:pPr>
      <w:rPr>
        <w:rFonts w:hint="default" w:ascii="Wingdings" w:hAnsi="Wingdings"/>
      </w:rPr>
    </w:lvl>
    <w:lvl w:ilvl="6" w:tentative="0">
      <w:start w:val="1"/>
      <w:numFmt w:val="bullet"/>
      <w:lvlText w:val=""/>
      <w:lvlJc w:val="left"/>
      <w:pPr>
        <w:ind w:left="3380" w:hanging="420"/>
      </w:pPr>
      <w:rPr>
        <w:rFonts w:hint="default" w:ascii="Wingdings" w:hAnsi="Wingdings"/>
      </w:rPr>
    </w:lvl>
    <w:lvl w:ilvl="7" w:tentative="0">
      <w:start w:val="1"/>
      <w:numFmt w:val="bullet"/>
      <w:lvlText w:val=""/>
      <w:lvlJc w:val="left"/>
      <w:pPr>
        <w:ind w:left="3800" w:hanging="420"/>
      </w:pPr>
      <w:rPr>
        <w:rFonts w:hint="default" w:ascii="Wingdings" w:hAnsi="Wingdings"/>
      </w:rPr>
    </w:lvl>
    <w:lvl w:ilvl="8" w:tentative="0">
      <w:start w:val="1"/>
      <w:numFmt w:val="bullet"/>
      <w:lvlText w:val=""/>
      <w:lvlJc w:val="left"/>
      <w:pPr>
        <w:ind w:left="4220" w:hanging="420"/>
      </w:pPr>
      <w:rPr>
        <w:rFonts w:hint="default" w:ascii="Wingdings" w:hAnsi="Wingdings"/>
      </w:rPr>
    </w:lvl>
  </w:abstractNum>
  <w:abstractNum w:abstractNumId="3">
    <w:nsid w:val="3AA46647"/>
    <w:multiLevelType w:val="multilevel"/>
    <w:tmpl w:val="3AA46647"/>
    <w:lvl w:ilvl="0" w:tentative="0">
      <w:start w:val="1"/>
      <w:numFmt w:val="decimal"/>
      <w:pStyle w:val="46"/>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060BBC"/>
    <w:multiLevelType w:val="multilevel"/>
    <w:tmpl w:val="3B060BBC"/>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4A7E110B"/>
    <w:multiLevelType w:val="multilevel"/>
    <w:tmpl w:val="4A7E110B"/>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BDF65F6"/>
    <w:multiLevelType w:val="multilevel"/>
    <w:tmpl w:val="4BDF65F6"/>
    <w:lvl w:ilvl="0" w:tentative="0">
      <w:start w:val="1"/>
      <w:numFmt w:val="decimal"/>
      <w:pStyle w:val="4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0146DC0"/>
    <w:multiLevelType w:val="multilevel"/>
    <w:tmpl w:val="70146DC0"/>
    <w:lvl w:ilvl="0" w:tentative="0">
      <w:start w:val="1"/>
      <w:numFmt w:val="bullet"/>
      <w:pStyle w:val="4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1"/>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0"/>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92D"/>
    <w:rsid w:val="0000112A"/>
    <w:rsid w:val="00002327"/>
    <w:rsid w:val="00002418"/>
    <w:rsid w:val="000046F5"/>
    <w:rsid w:val="00004E88"/>
    <w:rsid w:val="00005B14"/>
    <w:rsid w:val="0000773C"/>
    <w:rsid w:val="00010179"/>
    <w:rsid w:val="00015039"/>
    <w:rsid w:val="00015132"/>
    <w:rsid w:val="000163CA"/>
    <w:rsid w:val="000207B3"/>
    <w:rsid w:val="00021434"/>
    <w:rsid w:val="00021AAE"/>
    <w:rsid w:val="00022E51"/>
    <w:rsid w:val="00022EDE"/>
    <w:rsid w:val="0002404A"/>
    <w:rsid w:val="00024905"/>
    <w:rsid w:val="000255C7"/>
    <w:rsid w:val="00026E46"/>
    <w:rsid w:val="000305EC"/>
    <w:rsid w:val="00031996"/>
    <w:rsid w:val="00031F57"/>
    <w:rsid w:val="0003439E"/>
    <w:rsid w:val="00036AFC"/>
    <w:rsid w:val="00037989"/>
    <w:rsid w:val="00040044"/>
    <w:rsid w:val="0004019D"/>
    <w:rsid w:val="00042798"/>
    <w:rsid w:val="00043AF2"/>
    <w:rsid w:val="00044F8D"/>
    <w:rsid w:val="00046E70"/>
    <w:rsid w:val="00046EC1"/>
    <w:rsid w:val="00047081"/>
    <w:rsid w:val="00052ACC"/>
    <w:rsid w:val="00053670"/>
    <w:rsid w:val="00054718"/>
    <w:rsid w:val="00054B9E"/>
    <w:rsid w:val="0005556D"/>
    <w:rsid w:val="00055DCC"/>
    <w:rsid w:val="0005679C"/>
    <w:rsid w:val="0005706E"/>
    <w:rsid w:val="000600A4"/>
    <w:rsid w:val="000630EA"/>
    <w:rsid w:val="00063D6A"/>
    <w:rsid w:val="0006445C"/>
    <w:rsid w:val="00064C14"/>
    <w:rsid w:val="00065FC8"/>
    <w:rsid w:val="00066C43"/>
    <w:rsid w:val="00066E94"/>
    <w:rsid w:val="00067072"/>
    <w:rsid w:val="000707AD"/>
    <w:rsid w:val="000726E4"/>
    <w:rsid w:val="00074CEC"/>
    <w:rsid w:val="00075D81"/>
    <w:rsid w:val="000771C3"/>
    <w:rsid w:val="00082E56"/>
    <w:rsid w:val="00083768"/>
    <w:rsid w:val="00085425"/>
    <w:rsid w:val="0008799A"/>
    <w:rsid w:val="0009076A"/>
    <w:rsid w:val="00091DB0"/>
    <w:rsid w:val="000929D3"/>
    <w:rsid w:val="00095918"/>
    <w:rsid w:val="0009612B"/>
    <w:rsid w:val="00096412"/>
    <w:rsid w:val="00096975"/>
    <w:rsid w:val="00097080"/>
    <w:rsid w:val="00097C29"/>
    <w:rsid w:val="000A0C3E"/>
    <w:rsid w:val="000A0C91"/>
    <w:rsid w:val="000A2896"/>
    <w:rsid w:val="000A57E6"/>
    <w:rsid w:val="000A5D0C"/>
    <w:rsid w:val="000A645B"/>
    <w:rsid w:val="000A6607"/>
    <w:rsid w:val="000A6F26"/>
    <w:rsid w:val="000B345B"/>
    <w:rsid w:val="000B512D"/>
    <w:rsid w:val="000B6824"/>
    <w:rsid w:val="000C0612"/>
    <w:rsid w:val="000C1944"/>
    <w:rsid w:val="000C216B"/>
    <w:rsid w:val="000C32FA"/>
    <w:rsid w:val="000C3A22"/>
    <w:rsid w:val="000C46C1"/>
    <w:rsid w:val="000C4C4D"/>
    <w:rsid w:val="000C5487"/>
    <w:rsid w:val="000C5534"/>
    <w:rsid w:val="000C600C"/>
    <w:rsid w:val="000C6104"/>
    <w:rsid w:val="000C6CD2"/>
    <w:rsid w:val="000D24E2"/>
    <w:rsid w:val="000D2FFB"/>
    <w:rsid w:val="000D35D7"/>
    <w:rsid w:val="000D43F4"/>
    <w:rsid w:val="000D5861"/>
    <w:rsid w:val="000D58F1"/>
    <w:rsid w:val="000D598F"/>
    <w:rsid w:val="000E3BD9"/>
    <w:rsid w:val="000E3EEA"/>
    <w:rsid w:val="000E4DDB"/>
    <w:rsid w:val="000E4EF8"/>
    <w:rsid w:val="000E50B9"/>
    <w:rsid w:val="000E5209"/>
    <w:rsid w:val="000E6592"/>
    <w:rsid w:val="000E65C2"/>
    <w:rsid w:val="000E7075"/>
    <w:rsid w:val="000F1576"/>
    <w:rsid w:val="000F22A0"/>
    <w:rsid w:val="000F2DCC"/>
    <w:rsid w:val="000F4FB7"/>
    <w:rsid w:val="000F504F"/>
    <w:rsid w:val="000F58D7"/>
    <w:rsid w:val="000F7322"/>
    <w:rsid w:val="000F785C"/>
    <w:rsid w:val="000F7F6B"/>
    <w:rsid w:val="00102955"/>
    <w:rsid w:val="001030E2"/>
    <w:rsid w:val="00103A1D"/>
    <w:rsid w:val="00103ADE"/>
    <w:rsid w:val="001040A3"/>
    <w:rsid w:val="001042A2"/>
    <w:rsid w:val="001053A6"/>
    <w:rsid w:val="00111BF3"/>
    <w:rsid w:val="001140B1"/>
    <w:rsid w:val="0011457F"/>
    <w:rsid w:val="001164E7"/>
    <w:rsid w:val="001175A0"/>
    <w:rsid w:val="0011771D"/>
    <w:rsid w:val="00117825"/>
    <w:rsid w:val="00120E8A"/>
    <w:rsid w:val="0012343B"/>
    <w:rsid w:val="00123A6A"/>
    <w:rsid w:val="001277FA"/>
    <w:rsid w:val="00127950"/>
    <w:rsid w:val="00130DB6"/>
    <w:rsid w:val="0013220A"/>
    <w:rsid w:val="001334A7"/>
    <w:rsid w:val="00136467"/>
    <w:rsid w:val="001366F7"/>
    <w:rsid w:val="00136871"/>
    <w:rsid w:val="001369F6"/>
    <w:rsid w:val="001401D1"/>
    <w:rsid w:val="00140AE4"/>
    <w:rsid w:val="0014136C"/>
    <w:rsid w:val="0014315C"/>
    <w:rsid w:val="001447C9"/>
    <w:rsid w:val="001455B4"/>
    <w:rsid w:val="00145B2C"/>
    <w:rsid w:val="00145BE8"/>
    <w:rsid w:val="001478C9"/>
    <w:rsid w:val="00150658"/>
    <w:rsid w:val="00152B82"/>
    <w:rsid w:val="00152E17"/>
    <w:rsid w:val="00153DFD"/>
    <w:rsid w:val="00157411"/>
    <w:rsid w:val="001637D9"/>
    <w:rsid w:val="00163958"/>
    <w:rsid w:val="00163C43"/>
    <w:rsid w:val="00163E3A"/>
    <w:rsid w:val="001645E4"/>
    <w:rsid w:val="00164C6C"/>
    <w:rsid w:val="00165036"/>
    <w:rsid w:val="00166848"/>
    <w:rsid w:val="00166EF0"/>
    <w:rsid w:val="0016725B"/>
    <w:rsid w:val="00167C34"/>
    <w:rsid w:val="00170CD6"/>
    <w:rsid w:val="0017178D"/>
    <w:rsid w:val="00172A27"/>
    <w:rsid w:val="00173343"/>
    <w:rsid w:val="00173624"/>
    <w:rsid w:val="00174EE5"/>
    <w:rsid w:val="00176371"/>
    <w:rsid w:val="00176496"/>
    <w:rsid w:val="001767AB"/>
    <w:rsid w:val="00176CE4"/>
    <w:rsid w:val="00176EA6"/>
    <w:rsid w:val="00177052"/>
    <w:rsid w:val="0018253F"/>
    <w:rsid w:val="00183086"/>
    <w:rsid w:val="0018415A"/>
    <w:rsid w:val="00185634"/>
    <w:rsid w:val="00185B2D"/>
    <w:rsid w:val="0019297F"/>
    <w:rsid w:val="001945CB"/>
    <w:rsid w:val="00194A42"/>
    <w:rsid w:val="001950A5"/>
    <w:rsid w:val="001964C6"/>
    <w:rsid w:val="001A040E"/>
    <w:rsid w:val="001A27EA"/>
    <w:rsid w:val="001A5676"/>
    <w:rsid w:val="001A585E"/>
    <w:rsid w:val="001A63FC"/>
    <w:rsid w:val="001A671C"/>
    <w:rsid w:val="001A74B5"/>
    <w:rsid w:val="001B0350"/>
    <w:rsid w:val="001B10C2"/>
    <w:rsid w:val="001B1525"/>
    <w:rsid w:val="001B4A58"/>
    <w:rsid w:val="001B61CA"/>
    <w:rsid w:val="001C3113"/>
    <w:rsid w:val="001C34AE"/>
    <w:rsid w:val="001C4B12"/>
    <w:rsid w:val="001C53EA"/>
    <w:rsid w:val="001D0BE9"/>
    <w:rsid w:val="001D308C"/>
    <w:rsid w:val="001D3FCD"/>
    <w:rsid w:val="001D4C5A"/>
    <w:rsid w:val="001D59E7"/>
    <w:rsid w:val="001D63E6"/>
    <w:rsid w:val="001D7DDA"/>
    <w:rsid w:val="001E130B"/>
    <w:rsid w:val="001E2099"/>
    <w:rsid w:val="001E27E0"/>
    <w:rsid w:val="001E3616"/>
    <w:rsid w:val="001E3C31"/>
    <w:rsid w:val="001E5D55"/>
    <w:rsid w:val="001F080B"/>
    <w:rsid w:val="001F3296"/>
    <w:rsid w:val="001F42FD"/>
    <w:rsid w:val="001F435A"/>
    <w:rsid w:val="001F532D"/>
    <w:rsid w:val="001F6735"/>
    <w:rsid w:val="001F73F8"/>
    <w:rsid w:val="001F7E2A"/>
    <w:rsid w:val="0020127D"/>
    <w:rsid w:val="00202971"/>
    <w:rsid w:val="00205322"/>
    <w:rsid w:val="00205CA8"/>
    <w:rsid w:val="00206259"/>
    <w:rsid w:val="00211192"/>
    <w:rsid w:val="002150C0"/>
    <w:rsid w:val="00215B4B"/>
    <w:rsid w:val="00215C0C"/>
    <w:rsid w:val="00217CD0"/>
    <w:rsid w:val="00220720"/>
    <w:rsid w:val="00220F13"/>
    <w:rsid w:val="00222B41"/>
    <w:rsid w:val="002239D1"/>
    <w:rsid w:val="002239E2"/>
    <w:rsid w:val="002260BF"/>
    <w:rsid w:val="002277AA"/>
    <w:rsid w:val="00227B9F"/>
    <w:rsid w:val="002300DA"/>
    <w:rsid w:val="00230E2F"/>
    <w:rsid w:val="002337F7"/>
    <w:rsid w:val="00234FE9"/>
    <w:rsid w:val="00237C5F"/>
    <w:rsid w:val="0024089A"/>
    <w:rsid w:val="00241E81"/>
    <w:rsid w:val="00242177"/>
    <w:rsid w:val="0024697D"/>
    <w:rsid w:val="0024761D"/>
    <w:rsid w:val="002509D8"/>
    <w:rsid w:val="00252A27"/>
    <w:rsid w:val="00253B31"/>
    <w:rsid w:val="00255D8E"/>
    <w:rsid w:val="00255E7F"/>
    <w:rsid w:val="00261495"/>
    <w:rsid w:val="002617C9"/>
    <w:rsid w:val="002628A3"/>
    <w:rsid w:val="00263CF8"/>
    <w:rsid w:val="00266010"/>
    <w:rsid w:val="002662CE"/>
    <w:rsid w:val="002667CD"/>
    <w:rsid w:val="00271029"/>
    <w:rsid w:val="00272F96"/>
    <w:rsid w:val="002733D4"/>
    <w:rsid w:val="0027491E"/>
    <w:rsid w:val="002749B2"/>
    <w:rsid w:val="002804CA"/>
    <w:rsid w:val="00282B5B"/>
    <w:rsid w:val="002863A3"/>
    <w:rsid w:val="00286A1A"/>
    <w:rsid w:val="00287003"/>
    <w:rsid w:val="002901AB"/>
    <w:rsid w:val="00290412"/>
    <w:rsid w:val="00291D82"/>
    <w:rsid w:val="002924F9"/>
    <w:rsid w:val="0029575D"/>
    <w:rsid w:val="00295CB2"/>
    <w:rsid w:val="002A03BF"/>
    <w:rsid w:val="002A10AC"/>
    <w:rsid w:val="002A1B43"/>
    <w:rsid w:val="002A3174"/>
    <w:rsid w:val="002A40A7"/>
    <w:rsid w:val="002A431F"/>
    <w:rsid w:val="002A4970"/>
    <w:rsid w:val="002A5D5E"/>
    <w:rsid w:val="002A5DBB"/>
    <w:rsid w:val="002A7E58"/>
    <w:rsid w:val="002B15AC"/>
    <w:rsid w:val="002B1AEC"/>
    <w:rsid w:val="002B3F53"/>
    <w:rsid w:val="002B4341"/>
    <w:rsid w:val="002B4354"/>
    <w:rsid w:val="002B5408"/>
    <w:rsid w:val="002B6229"/>
    <w:rsid w:val="002C36C2"/>
    <w:rsid w:val="002C37D5"/>
    <w:rsid w:val="002C3C85"/>
    <w:rsid w:val="002C4016"/>
    <w:rsid w:val="002C5BB8"/>
    <w:rsid w:val="002C5C2D"/>
    <w:rsid w:val="002C636A"/>
    <w:rsid w:val="002C7437"/>
    <w:rsid w:val="002D109F"/>
    <w:rsid w:val="002D1FE0"/>
    <w:rsid w:val="002D35C9"/>
    <w:rsid w:val="002D3617"/>
    <w:rsid w:val="002D3E6A"/>
    <w:rsid w:val="002D4D12"/>
    <w:rsid w:val="002D4F8A"/>
    <w:rsid w:val="002D6C7D"/>
    <w:rsid w:val="002D74A4"/>
    <w:rsid w:val="002E0B56"/>
    <w:rsid w:val="002E2D9B"/>
    <w:rsid w:val="002E3656"/>
    <w:rsid w:val="002E5475"/>
    <w:rsid w:val="002E5A0C"/>
    <w:rsid w:val="002E5F90"/>
    <w:rsid w:val="002E637E"/>
    <w:rsid w:val="002E6858"/>
    <w:rsid w:val="002E7D93"/>
    <w:rsid w:val="002E7F8A"/>
    <w:rsid w:val="002E7F97"/>
    <w:rsid w:val="002F0209"/>
    <w:rsid w:val="002F16C4"/>
    <w:rsid w:val="002F2A52"/>
    <w:rsid w:val="002F37E8"/>
    <w:rsid w:val="002F65FD"/>
    <w:rsid w:val="002F67A2"/>
    <w:rsid w:val="002F67ED"/>
    <w:rsid w:val="002F7433"/>
    <w:rsid w:val="00300887"/>
    <w:rsid w:val="00300BD1"/>
    <w:rsid w:val="00301393"/>
    <w:rsid w:val="00301BE4"/>
    <w:rsid w:val="00301C35"/>
    <w:rsid w:val="003020ED"/>
    <w:rsid w:val="0030330F"/>
    <w:rsid w:val="00303834"/>
    <w:rsid w:val="00303EF0"/>
    <w:rsid w:val="00304BDE"/>
    <w:rsid w:val="00304F65"/>
    <w:rsid w:val="00305602"/>
    <w:rsid w:val="00305DE0"/>
    <w:rsid w:val="0030727E"/>
    <w:rsid w:val="00313773"/>
    <w:rsid w:val="00313AD9"/>
    <w:rsid w:val="00313D16"/>
    <w:rsid w:val="00314809"/>
    <w:rsid w:val="00315066"/>
    <w:rsid w:val="00315C20"/>
    <w:rsid w:val="00317C7F"/>
    <w:rsid w:val="00320CAE"/>
    <w:rsid w:val="00322CF7"/>
    <w:rsid w:val="00323A2F"/>
    <w:rsid w:val="003240FB"/>
    <w:rsid w:val="00331622"/>
    <w:rsid w:val="003317E3"/>
    <w:rsid w:val="00331D28"/>
    <w:rsid w:val="00331FBA"/>
    <w:rsid w:val="0033281C"/>
    <w:rsid w:val="00332D42"/>
    <w:rsid w:val="00333D5B"/>
    <w:rsid w:val="00333EFE"/>
    <w:rsid w:val="003342A3"/>
    <w:rsid w:val="00334734"/>
    <w:rsid w:val="00334DC2"/>
    <w:rsid w:val="0033576B"/>
    <w:rsid w:val="003405B7"/>
    <w:rsid w:val="003409CF"/>
    <w:rsid w:val="00340F85"/>
    <w:rsid w:val="00343B5D"/>
    <w:rsid w:val="0034553B"/>
    <w:rsid w:val="00345FE9"/>
    <w:rsid w:val="003472B4"/>
    <w:rsid w:val="003503C4"/>
    <w:rsid w:val="00350FBC"/>
    <w:rsid w:val="00351908"/>
    <w:rsid w:val="0035204B"/>
    <w:rsid w:val="00352086"/>
    <w:rsid w:val="003529BD"/>
    <w:rsid w:val="003557F6"/>
    <w:rsid w:val="003621CE"/>
    <w:rsid w:val="003627EF"/>
    <w:rsid w:val="003634E2"/>
    <w:rsid w:val="00363A78"/>
    <w:rsid w:val="003643F8"/>
    <w:rsid w:val="00366F67"/>
    <w:rsid w:val="0037065F"/>
    <w:rsid w:val="003720D1"/>
    <w:rsid w:val="0037266D"/>
    <w:rsid w:val="00375C1F"/>
    <w:rsid w:val="00376270"/>
    <w:rsid w:val="003813C9"/>
    <w:rsid w:val="003821A4"/>
    <w:rsid w:val="00384A17"/>
    <w:rsid w:val="003851CA"/>
    <w:rsid w:val="0038541D"/>
    <w:rsid w:val="00387508"/>
    <w:rsid w:val="00391906"/>
    <w:rsid w:val="0039193E"/>
    <w:rsid w:val="00391AC5"/>
    <w:rsid w:val="00392A1E"/>
    <w:rsid w:val="003933F1"/>
    <w:rsid w:val="00393A9A"/>
    <w:rsid w:val="00395C77"/>
    <w:rsid w:val="00396782"/>
    <w:rsid w:val="00396A19"/>
    <w:rsid w:val="00396D4B"/>
    <w:rsid w:val="00396FEB"/>
    <w:rsid w:val="003A0AD5"/>
    <w:rsid w:val="003A0F24"/>
    <w:rsid w:val="003A1079"/>
    <w:rsid w:val="003A11F6"/>
    <w:rsid w:val="003A1352"/>
    <w:rsid w:val="003A1EED"/>
    <w:rsid w:val="003A2742"/>
    <w:rsid w:val="003A2EE6"/>
    <w:rsid w:val="003A3310"/>
    <w:rsid w:val="003A420A"/>
    <w:rsid w:val="003A519F"/>
    <w:rsid w:val="003A6F46"/>
    <w:rsid w:val="003B1113"/>
    <w:rsid w:val="003B1C09"/>
    <w:rsid w:val="003B3197"/>
    <w:rsid w:val="003B4369"/>
    <w:rsid w:val="003B47ED"/>
    <w:rsid w:val="003B5BAE"/>
    <w:rsid w:val="003C193E"/>
    <w:rsid w:val="003C54CC"/>
    <w:rsid w:val="003C562C"/>
    <w:rsid w:val="003C67E4"/>
    <w:rsid w:val="003C6911"/>
    <w:rsid w:val="003C7925"/>
    <w:rsid w:val="003D0C02"/>
    <w:rsid w:val="003D1BA8"/>
    <w:rsid w:val="003D1D14"/>
    <w:rsid w:val="003D471D"/>
    <w:rsid w:val="003D645F"/>
    <w:rsid w:val="003E10DC"/>
    <w:rsid w:val="003E21E9"/>
    <w:rsid w:val="003E239D"/>
    <w:rsid w:val="003E4FCA"/>
    <w:rsid w:val="003E4FD3"/>
    <w:rsid w:val="003F097C"/>
    <w:rsid w:val="003F16AA"/>
    <w:rsid w:val="003F2293"/>
    <w:rsid w:val="003F342B"/>
    <w:rsid w:val="003F4AB7"/>
    <w:rsid w:val="003F7954"/>
    <w:rsid w:val="00402656"/>
    <w:rsid w:val="00406247"/>
    <w:rsid w:val="00406E9B"/>
    <w:rsid w:val="00407685"/>
    <w:rsid w:val="00407B1E"/>
    <w:rsid w:val="0041043C"/>
    <w:rsid w:val="00412E17"/>
    <w:rsid w:val="00416785"/>
    <w:rsid w:val="0041746D"/>
    <w:rsid w:val="00417601"/>
    <w:rsid w:val="00417A84"/>
    <w:rsid w:val="00420D73"/>
    <w:rsid w:val="0042154F"/>
    <w:rsid w:val="00422186"/>
    <w:rsid w:val="0042521E"/>
    <w:rsid w:val="0042651B"/>
    <w:rsid w:val="004301DE"/>
    <w:rsid w:val="0043065A"/>
    <w:rsid w:val="004318CA"/>
    <w:rsid w:val="00431B46"/>
    <w:rsid w:val="00431D3C"/>
    <w:rsid w:val="00433F20"/>
    <w:rsid w:val="0043506E"/>
    <w:rsid w:val="00436FE4"/>
    <w:rsid w:val="0044070C"/>
    <w:rsid w:val="004408D1"/>
    <w:rsid w:val="00441BEC"/>
    <w:rsid w:val="004428DE"/>
    <w:rsid w:val="00442E50"/>
    <w:rsid w:val="00444241"/>
    <w:rsid w:val="0044553B"/>
    <w:rsid w:val="004459F9"/>
    <w:rsid w:val="0044653C"/>
    <w:rsid w:val="00446894"/>
    <w:rsid w:val="0044698D"/>
    <w:rsid w:val="00446BAA"/>
    <w:rsid w:val="00446F38"/>
    <w:rsid w:val="004508B8"/>
    <w:rsid w:val="00451DFB"/>
    <w:rsid w:val="00452D85"/>
    <w:rsid w:val="00453286"/>
    <w:rsid w:val="00453D6C"/>
    <w:rsid w:val="00454AF2"/>
    <w:rsid w:val="004559D0"/>
    <w:rsid w:val="00456C5B"/>
    <w:rsid w:val="0045733E"/>
    <w:rsid w:val="004573FA"/>
    <w:rsid w:val="00463942"/>
    <w:rsid w:val="00464E35"/>
    <w:rsid w:val="004654BC"/>
    <w:rsid w:val="004654CB"/>
    <w:rsid w:val="00466B93"/>
    <w:rsid w:val="004702C2"/>
    <w:rsid w:val="004729EF"/>
    <w:rsid w:val="00472A2F"/>
    <w:rsid w:val="004731FE"/>
    <w:rsid w:val="00476B4B"/>
    <w:rsid w:val="004809B5"/>
    <w:rsid w:val="0048145B"/>
    <w:rsid w:val="00481B43"/>
    <w:rsid w:val="0048347E"/>
    <w:rsid w:val="00483DAA"/>
    <w:rsid w:val="00484022"/>
    <w:rsid w:val="0048570C"/>
    <w:rsid w:val="00486487"/>
    <w:rsid w:val="0048653D"/>
    <w:rsid w:val="0048763A"/>
    <w:rsid w:val="00490561"/>
    <w:rsid w:val="00492181"/>
    <w:rsid w:val="00492CAD"/>
    <w:rsid w:val="004945B1"/>
    <w:rsid w:val="00494A92"/>
    <w:rsid w:val="00495944"/>
    <w:rsid w:val="00495A57"/>
    <w:rsid w:val="00495EB5"/>
    <w:rsid w:val="00496247"/>
    <w:rsid w:val="004969FD"/>
    <w:rsid w:val="004A006D"/>
    <w:rsid w:val="004A15E7"/>
    <w:rsid w:val="004A5C0E"/>
    <w:rsid w:val="004A6BE0"/>
    <w:rsid w:val="004A7965"/>
    <w:rsid w:val="004B05AC"/>
    <w:rsid w:val="004B27B7"/>
    <w:rsid w:val="004B37BB"/>
    <w:rsid w:val="004B5F93"/>
    <w:rsid w:val="004B6616"/>
    <w:rsid w:val="004B7DA7"/>
    <w:rsid w:val="004C047C"/>
    <w:rsid w:val="004C13E3"/>
    <w:rsid w:val="004C1572"/>
    <w:rsid w:val="004C32AB"/>
    <w:rsid w:val="004C35CF"/>
    <w:rsid w:val="004D140F"/>
    <w:rsid w:val="004D4385"/>
    <w:rsid w:val="004D578F"/>
    <w:rsid w:val="004D58FF"/>
    <w:rsid w:val="004D59E5"/>
    <w:rsid w:val="004D76CF"/>
    <w:rsid w:val="004E0E27"/>
    <w:rsid w:val="004E164E"/>
    <w:rsid w:val="004E26D6"/>
    <w:rsid w:val="004E30CB"/>
    <w:rsid w:val="004E3388"/>
    <w:rsid w:val="004E5051"/>
    <w:rsid w:val="004E533C"/>
    <w:rsid w:val="004E5664"/>
    <w:rsid w:val="004E6534"/>
    <w:rsid w:val="004E7C87"/>
    <w:rsid w:val="004F004C"/>
    <w:rsid w:val="004F09C8"/>
    <w:rsid w:val="004F2E33"/>
    <w:rsid w:val="004F47F5"/>
    <w:rsid w:val="004F7230"/>
    <w:rsid w:val="00500B0A"/>
    <w:rsid w:val="0050203F"/>
    <w:rsid w:val="00503202"/>
    <w:rsid w:val="00504167"/>
    <w:rsid w:val="00504641"/>
    <w:rsid w:val="0050481A"/>
    <w:rsid w:val="0051054E"/>
    <w:rsid w:val="00514A5F"/>
    <w:rsid w:val="0051511D"/>
    <w:rsid w:val="0051721B"/>
    <w:rsid w:val="00517CC8"/>
    <w:rsid w:val="00520474"/>
    <w:rsid w:val="0052302B"/>
    <w:rsid w:val="005245D8"/>
    <w:rsid w:val="0052543C"/>
    <w:rsid w:val="00525D0D"/>
    <w:rsid w:val="00527981"/>
    <w:rsid w:val="00531476"/>
    <w:rsid w:val="00531C32"/>
    <w:rsid w:val="00532BE2"/>
    <w:rsid w:val="00533E6F"/>
    <w:rsid w:val="00536865"/>
    <w:rsid w:val="00540C2B"/>
    <w:rsid w:val="00541AC2"/>
    <w:rsid w:val="00542F50"/>
    <w:rsid w:val="005434EA"/>
    <w:rsid w:val="0054377D"/>
    <w:rsid w:val="005439BB"/>
    <w:rsid w:val="00544E58"/>
    <w:rsid w:val="00546AA2"/>
    <w:rsid w:val="00547EED"/>
    <w:rsid w:val="00550032"/>
    <w:rsid w:val="00555010"/>
    <w:rsid w:val="0055515C"/>
    <w:rsid w:val="00555635"/>
    <w:rsid w:val="0055771C"/>
    <w:rsid w:val="00557DF7"/>
    <w:rsid w:val="00560112"/>
    <w:rsid w:val="0056072D"/>
    <w:rsid w:val="00561353"/>
    <w:rsid w:val="0056261E"/>
    <w:rsid w:val="005631E5"/>
    <w:rsid w:val="005707D7"/>
    <w:rsid w:val="00572450"/>
    <w:rsid w:val="00572794"/>
    <w:rsid w:val="005776B3"/>
    <w:rsid w:val="00577B25"/>
    <w:rsid w:val="00577FA3"/>
    <w:rsid w:val="005800AE"/>
    <w:rsid w:val="005818F2"/>
    <w:rsid w:val="00583585"/>
    <w:rsid w:val="00584402"/>
    <w:rsid w:val="0058467B"/>
    <w:rsid w:val="00584754"/>
    <w:rsid w:val="005847B4"/>
    <w:rsid w:val="00587B31"/>
    <w:rsid w:val="00591874"/>
    <w:rsid w:val="00591995"/>
    <w:rsid w:val="00591A9A"/>
    <w:rsid w:val="00591AFC"/>
    <w:rsid w:val="00593A13"/>
    <w:rsid w:val="005942C9"/>
    <w:rsid w:val="00594C6B"/>
    <w:rsid w:val="00595D60"/>
    <w:rsid w:val="00595FF1"/>
    <w:rsid w:val="00596155"/>
    <w:rsid w:val="0059699B"/>
    <w:rsid w:val="00596B55"/>
    <w:rsid w:val="005A44CD"/>
    <w:rsid w:val="005A4AEC"/>
    <w:rsid w:val="005A50F5"/>
    <w:rsid w:val="005A6441"/>
    <w:rsid w:val="005A6487"/>
    <w:rsid w:val="005A65FF"/>
    <w:rsid w:val="005B0A1B"/>
    <w:rsid w:val="005B0FF6"/>
    <w:rsid w:val="005B136F"/>
    <w:rsid w:val="005B262F"/>
    <w:rsid w:val="005B4101"/>
    <w:rsid w:val="005B4921"/>
    <w:rsid w:val="005B4E40"/>
    <w:rsid w:val="005B55FD"/>
    <w:rsid w:val="005B7EB5"/>
    <w:rsid w:val="005C07D3"/>
    <w:rsid w:val="005C1775"/>
    <w:rsid w:val="005C25C8"/>
    <w:rsid w:val="005C39A8"/>
    <w:rsid w:val="005C5ADE"/>
    <w:rsid w:val="005C5C1D"/>
    <w:rsid w:val="005C6038"/>
    <w:rsid w:val="005C611C"/>
    <w:rsid w:val="005C7591"/>
    <w:rsid w:val="005C7BD4"/>
    <w:rsid w:val="005D0855"/>
    <w:rsid w:val="005D0FDD"/>
    <w:rsid w:val="005D13C0"/>
    <w:rsid w:val="005D720D"/>
    <w:rsid w:val="005E056A"/>
    <w:rsid w:val="005E0A93"/>
    <w:rsid w:val="005E0E1D"/>
    <w:rsid w:val="005E2461"/>
    <w:rsid w:val="005E247B"/>
    <w:rsid w:val="005E4CFC"/>
    <w:rsid w:val="005E567C"/>
    <w:rsid w:val="005E5A35"/>
    <w:rsid w:val="005F1C4C"/>
    <w:rsid w:val="005F347D"/>
    <w:rsid w:val="005F4060"/>
    <w:rsid w:val="005F5FD1"/>
    <w:rsid w:val="005F6497"/>
    <w:rsid w:val="005F6A35"/>
    <w:rsid w:val="00600C3B"/>
    <w:rsid w:val="006023E9"/>
    <w:rsid w:val="00604BE0"/>
    <w:rsid w:val="00604ED7"/>
    <w:rsid w:val="00605C52"/>
    <w:rsid w:val="006069F4"/>
    <w:rsid w:val="006075F1"/>
    <w:rsid w:val="00607B2C"/>
    <w:rsid w:val="00610C89"/>
    <w:rsid w:val="006112D1"/>
    <w:rsid w:val="00611BF1"/>
    <w:rsid w:val="006129B4"/>
    <w:rsid w:val="00615428"/>
    <w:rsid w:val="0061579B"/>
    <w:rsid w:val="00615A41"/>
    <w:rsid w:val="00615F56"/>
    <w:rsid w:val="00617A40"/>
    <w:rsid w:val="00617C47"/>
    <w:rsid w:val="00617E3E"/>
    <w:rsid w:val="0062089C"/>
    <w:rsid w:val="006209D1"/>
    <w:rsid w:val="00620E03"/>
    <w:rsid w:val="00621317"/>
    <w:rsid w:val="006230D7"/>
    <w:rsid w:val="0062327B"/>
    <w:rsid w:val="00623636"/>
    <w:rsid w:val="00625539"/>
    <w:rsid w:val="0062743C"/>
    <w:rsid w:val="006309DB"/>
    <w:rsid w:val="00631E9B"/>
    <w:rsid w:val="00632335"/>
    <w:rsid w:val="00632354"/>
    <w:rsid w:val="006336DA"/>
    <w:rsid w:val="00633ED2"/>
    <w:rsid w:val="00634D66"/>
    <w:rsid w:val="006361FB"/>
    <w:rsid w:val="006401AA"/>
    <w:rsid w:val="00640FA0"/>
    <w:rsid w:val="006424C6"/>
    <w:rsid w:val="00642581"/>
    <w:rsid w:val="0064570B"/>
    <w:rsid w:val="00646900"/>
    <w:rsid w:val="0065067B"/>
    <w:rsid w:val="00651369"/>
    <w:rsid w:val="006527BC"/>
    <w:rsid w:val="006535CC"/>
    <w:rsid w:val="00653D64"/>
    <w:rsid w:val="0065408D"/>
    <w:rsid w:val="006555CE"/>
    <w:rsid w:val="0065614D"/>
    <w:rsid w:val="00656299"/>
    <w:rsid w:val="006570C0"/>
    <w:rsid w:val="00657778"/>
    <w:rsid w:val="00657F99"/>
    <w:rsid w:val="006608EA"/>
    <w:rsid w:val="00661B5D"/>
    <w:rsid w:val="006633E8"/>
    <w:rsid w:val="00664290"/>
    <w:rsid w:val="006651B0"/>
    <w:rsid w:val="006652A5"/>
    <w:rsid w:val="006679C0"/>
    <w:rsid w:val="0067386F"/>
    <w:rsid w:val="00673B49"/>
    <w:rsid w:val="00673EE2"/>
    <w:rsid w:val="00675B3E"/>
    <w:rsid w:val="00675E96"/>
    <w:rsid w:val="0067692D"/>
    <w:rsid w:val="00676E47"/>
    <w:rsid w:val="0067706A"/>
    <w:rsid w:val="00677A9A"/>
    <w:rsid w:val="00680759"/>
    <w:rsid w:val="00681096"/>
    <w:rsid w:val="00681D06"/>
    <w:rsid w:val="0068203A"/>
    <w:rsid w:val="00682298"/>
    <w:rsid w:val="0068392E"/>
    <w:rsid w:val="0068550A"/>
    <w:rsid w:val="0068710D"/>
    <w:rsid w:val="00687A28"/>
    <w:rsid w:val="0069129F"/>
    <w:rsid w:val="006942DE"/>
    <w:rsid w:val="00695773"/>
    <w:rsid w:val="006959F4"/>
    <w:rsid w:val="00695F4B"/>
    <w:rsid w:val="00696055"/>
    <w:rsid w:val="00696C4B"/>
    <w:rsid w:val="006A2144"/>
    <w:rsid w:val="006A5005"/>
    <w:rsid w:val="006A770B"/>
    <w:rsid w:val="006A78AB"/>
    <w:rsid w:val="006B11B9"/>
    <w:rsid w:val="006B2BFD"/>
    <w:rsid w:val="006B2F59"/>
    <w:rsid w:val="006B3E7B"/>
    <w:rsid w:val="006B44DE"/>
    <w:rsid w:val="006B68A9"/>
    <w:rsid w:val="006B68BB"/>
    <w:rsid w:val="006C2AFB"/>
    <w:rsid w:val="006C5BED"/>
    <w:rsid w:val="006C6196"/>
    <w:rsid w:val="006C63FA"/>
    <w:rsid w:val="006C79CC"/>
    <w:rsid w:val="006C7C94"/>
    <w:rsid w:val="006D02E7"/>
    <w:rsid w:val="006D2633"/>
    <w:rsid w:val="006D267E"/>
    <w:rsid w:val="006D2F82"/>
    <w:rsid w:val="006D419D"/>
    <w:rsid w:val="006D471A"/>
    <w:rsid w:val="006D5130"/>
    <w:rsid w:val="006D51BF"/>
    <w:rsid w:val="006E381A"/>
    <w:rsid w:val="006E409B"/>
    <w:rsid w:val="006E492C"/>
    <w:rsid w:val="006E56D5"/>
    <w:rsid w:val="006E5A5A"/>
    <w:rsid w:val="006F05F7"/>
    <w:rsid w:val="006F2A5C"/>
    <w:rsid w:val="006F31E9"/>
    <w:rsid w:val="006F4431"/>
    <w:rsid w:val="006F72D5"/>
    <w:rsid w:val="006F72F6"/>
    <w:rsid w:val="00700CD1"/>
    <w:rsid w:val="007012CD"/>
    <w:rsid w:val="00702B90"/>
    <w:rsid w:val="0070447C"/>
    <w:rsid w:val="0070498A"/>
    <w:rsid w:val="00706D14"/>
    <w:rsid w:val="00707AB5"/>
    <w:rsid w:val="00711028"/>
    <w:rsid w:val="007110BD"/>
    <w:rsid w:val="00711C5C"/>
    <w:rsid w:val="00713CDF"/>
    <w:rsid w:val="0071444C"/>
    <w:rsid w:val="007153CF"/>
    <w:rsid w:val="0071629F"/>
    <w:rsid w:val="00716683"/>
    <w:rsid w:val="00717015"/>
    <w:rsid w:val="00720231"/>
    <w:rsid w:val="00720CE7"/>
    <w:rsid w:val="0072125E"/>
    <w:rsid w:val="00721DCF"/>
    <w:rsid w:val="0072286D"/>
    <w:rsid w:val="00723A1F"/>
    <w:rsid w:val="00724E82"/>
    <w:rsid w:val="00725141"/>
    <w:rsid w:val="0072584B"/>
    <w:rsid w:val="00727B0F"/>
    <w:rsid w:val="00727CFC"/>
    <w:rsid w:val="00730673"/>
    <w:rsid w:val="00730741"/>
    <w:rsid w:val="00731300"/>
    <w:rsid w:val="00734A39"/>
    <w:rsid w:val="00737944"/>
    <w:rsid w:val="007403F3"/>
    <w:rsid w:val="00742CED"/>
    <w:rsid w:val="00744CC0"/>
    <w:rsid w:val="00744DC7"/>
    <w:rsid w:val="0074513B"/>
    <w:rsid w:val="007453DB"/>
    <w:rsid w:val="00745D0B"/>
    <w:rsid w:val="00745EBE"/>
    <w:rsid w:val="00746683"/>
    <w:rsid w:val="0074781F"/>
    <w:rsid w:val="00747A13"/>
    <w:rsid w:val="00752F91"/>
    <w:rsid w:val="00753EB1"/>
    <w:rsid w:val="007571BD"/>
    <w:rsid w:val="0075779A"/>
    <w:rsid w:val="00762B16"/>
    <w:rsid w:val="00763807"/>
    <w:rsid w:val="00764DDF"/>
    <w:rsid w:val="00764E50"/>
    <w:rsid w:val="00765D18"/>
    <w:rsid w:val="00766275"/>
    <w:rsid w:val="00766629"/>
    <w:rsid w:val="00766EC1"/>
    <w:rsid w:val="00767C83"/>
    <w:rsid w:val="00770305"/>
    <w:rsid w:val="0077075F"/>
    <w:rsid w:val="00770AD6"/>
    <w:rsid w:val="0077403A"/>
    <w:rsid w:val="007770B6"/>
    <w:rsid w:val="00777FE7"/>
    <w:rsid w:val="007824B2"/>
    <w:rsid w:val="0078257B"/>
    <w:rsid w:val="00782A64"/>
    <w:rsid w:val="0078436A"/>
    <w:rsid w:val="0078446D"/>
    <w:rsid w:val="0078687B"/>
    <w:rsid w:val="00786908"/>
    <w:rsid w:val="0078717C"/>
    <w:rsid w:val="0078758C"/>
    <w:rsid w:val="007907A9"/>
    <w:rsid w:val="007918C5"/>
    <w:rsid w:val="00792482"/>
    <w:rsid w:val="007934C2"/>
    <w:rsid w:val="00794C8F"/>
    <w:rsid w:val="00795081"/>
    <w:rsid w:val="00796100"/>
    <w:rsid w:val="00796AB0"/>
    <w:rsid w:val="007A016B"/>
    <w:rsid w:val="007A040B"/>
    <w:rsid w:val="007A0978"/>
    <w:rsid w:val="007A29B5"/>
    <w:rsid w:val="007A29D7"/>
    <w:rsid w:val="007A4006"/>
    <w:rsid w:val="007A41C8"/>
    <w:rsid w:val="007A508F"/>
    <w:rsid w:val="007A64E8"/>
    <w:rsid w:val="007A6D32"/>
    <w:rsid w:val="007A776A"/>
    <w:rsid w:val="007A7E5E"/>
    <w:rsid w:val="007A7FCE"/>
    <w:rsid w:val="007B1EAD"/>
    <w:rsid w:val="007B2A3D"/>
    <w:rsid w:val="007B2B9F"/>
    <w:rsid w:val="007B2C1F"/>
    <w:rsid w:val="007B484E"/>
    <w:rsid w:val="007B4875"/>
    <w:rsid w:val="007B5970"/>
    <w:rsid w:val="007B59A2"/>
    <w:rsid w:val="007B60A5"/>
    <w:rsid w:val="007B7E26"/>
    <w:rsid w:val="007C03F8"/>
    <w:rsid w:val="007C24BE"/>
    <w:rsid w:val="007C3DE6"/>
    <w:rsid w:val="007C4CDF"/>
    <w:rsid w:val="007C4DC2"/>
    <w:rsid w:val="007C6683"/>
    <w:rsid w:val="007C66D0"/>
    <w:rsid w:val="007C74B8"/>
    <w:rsid w:val="007C74EA"/>
    <w:rsid w:val="007C753F"/>
    <w:rsid w:val="007C7CFE"/>
    <w:rsid w:val="007D056B"/>
    <w:rsid w:val="007D0D62"/>
    <w:rsid w:val="007D1D11"/>
    <w:rsid w:val="007D21B4"/>
    <w:rsid w:val="007D32DA"/>
    <w:rsid w:val="007D38B5"/>
    <w:rsid w:val="007D544F"/>
    <w:rsid w:val="007D5848"/>
    <w:rsid w:val="007D6245"/>
    <w:rsid w:val="007E0E3C"/>
    <w:rsid w:val="007E195E"/>
    <w:rsid w:val="007E3897"/>
    <w:rsid w:val="007E5230"/>
    <w:rsid w:val="007E62AD"/>
    <w:rsid w:val="007E6927"/>
    <w:rsid w:val="007F12AD"/>
    <w:rsid w:val="007F19DB"/>
    <w:rsid w:val="007F2E8A"/>
    <w:rsid w:val="007F3575"/>
    <w:rsid w:val="007F457F"/>
    <w:rsid w:val="007F4FDC"/>
    <w:rsid w:val="007F568B"/>
    <w:rsid w:val="007F56C2"/>
    <w:rsid w:val="007F5D5F"/>
    <w:rsid w:val="007F7C32"/>
    <w:rsid w:val="00803CD0"/>
    <w:rsid w:val="0080434B"/>
    <w:rsid w:val="00804849"/>
    <w:rsid w:val="00804E53"/>
    <w:rsid w:val="008073A4"/>
    <w:rsid w:val="00807AAA"/>
    <w:rsid w:val="00807D66"/>
    <w:rsid w:val="00810875"/>
    <w:rsid w:val="00810BD2"/>
    <w:rsid w:val="0081116D"/>
    <w:rsid w:val="008113D6"/>
    <w:rsid w:val="00811502"/>
    <w:rsid w:val="00813870"/>
    <w:rsid w:val="00815139"/>
    <w:rsid w:val="00815DAB"/>
    <w:rsid w:val="00820855"/>
    <w:rsid w:val="0082282A"/>
    <w:rsid w:val="0082555C"/>
    <w:rsid w:val="00825ED8"/>
    <w:rsid w:val="008334EA"/>
    <w:rsid w:val="00841902"/>
    <w:rsid w:val="008423C1"/>
    <w:rsid w:val="00845237"/>
    <w:rsid w:val="0084566C"/>
    <w:rsid w:val="008463DA"/>
    <w:rsid w:val="00846BA7"/>
    <w:rsid w:val="0084703B"/>
    <w:rsid w:val="0084712E"/>
    <w:rsid w:val="0085082A"/>
    <w:rsid w:val="008518AA"/>
    <w:rsid w:val="00853AB1"/>
    <w:rsid w:val="00853BE7"/>
    <w:rsid w:val="0085425D"/>
    <w:rsid w:val="00854B30"/>
    <w:rsid w:val="008551DD"/>
    <w:rsid w:val="00860235"/>
    <w:rsid w:val="008612D6"/>
    <w:rsid w:val="00863503"/>
    <w:rsid w:val="0086499E"/>
    <w:rsid w:val="0086626F"/>
    <w:rsid w:val="008663D3"/>
    <w:rsid w:val="008704E7"/>
    <w:rsid w:val="008722CE"/>
    <w:rsid w:val="0087264B"/>
    <w:rsid w:val="008728BD"/>
    <w:rsid w:val="00873093"/>
    <w:rsid w:val="00874A7F"/>
    <w:rsid w:val="00876465"/>
    <w:rsid w:val="00880BCB"/>
    <w:rsid w:val="00880D19"/>
    <w:rsid w:val="00882746"/>
    <w:rsid w:val="00882837"/>
    <w:rsid w:val="00885657"/>
    <w:rsid w:val="00887E51"/>
    <w:rsid w:val="008906B0"/>
    <w:rsid w:val="008919EA"/>
    <w:rsid w:val="00891A35"/>
    <w:rsid w:val="008929F1"/>
    <w:rsid w:val="00892E93"/>
    <w:rsid w:val="00893F1F"/>
    <w:rsid w:val="008945C3"/>
    <w:rsid w:val="00895C67"/>
    <w:rsid w:val="00895F0E"/>
    <w:rsid w:val="0089673D"/>
    <w:rsid w:val="00896877"/>
    <w:rsid w:val="00896AF8"/>
    <w:rsid w:val="00897EB1"/>
    <w:rsid w:val="008A03E3"/>
    <w:rsid w:val="008A2C68"/>
    <w:rsid w:val="008A60B6"/>
    <w:rsid w:val="008B0592"/>
    <w:rsid w:val="008B141F"/>
    <w:rsid w:val="008B18D9"/>
    <w:rsid w:val="008B2440"/>
    <w:rsid w:val="008B273D"/>
    <w:rsid w:val="008B2F8C"/>
    <w:rsid w:val="008B3AB6"/>
    <w:rsid w:val="008B4D33"/>
    <w:rsid w:val="008B5145"/>
    <w:rsid w:val="008B550C"/>
    <w:rsid w:val="008B7BC8"/>
    <w:rsid w:val="008C12B2"/>
    <w:rsid w:val="008C1795"/>
    <w:rsid w:val="008C3882"/>
    <w:rsid w:val="008C67BD"/>
    <w:rsid w:val="008C694F"/>
    <w:rsid w:val="008C7B46"/>
    <w:rsid w:val="008D1239"/>
    <w:rsid w:val="008D124D"/>
    <w:rsid w:val="008D54DB"/>
    <w:rsid w:val="008E2622"/>
    <w:rsid w:val="008E2C5C"/>
    <w:rsid w:val="008E3530"/>
    <w:rsid w:val="008E4FCB"/>
    <w:rsid w:val="008E622B"/>
    <w:rsid w:val="008E655B"/>
    <w:rsid w:val="008F0532"/>
    <w:rsid w:val="008F066C"/>
    <w:rsid w:val="008F1507"/>
    <w:rsid w:val="008F198B"/>
    <w:rsid w:val="008F25E8"/>
    <w:rsid w:val="008F7FF4"/>
    <w:rsid w:val="00903327"/>
    <w:rsid w:val="009033E1"/>
    <w:rsid w:val="00904876"/>
    <w:rsid w:val="0090680C"/>
    <w:rsid w:val="00906E21"/>
    <w:rsid w:val="00907734"/>
    <w:rsid w:val="009077A1"/>
    <w:rsid w:val="00910209"/>
    <w:rsid w:val="00917598"/>
    <w:rsid w:val="009175DC"/>
    <w:rsid w:val="00917DC8"/>
    <w:rsid w:val="0092166C"/>
    <w:rsid w:val="00921B3A"/>
    <w:rsid w:val="009222AF"/>
    <w:rsid w:val="00923489"/>
    <w:rsid w:val="009258EB"/>
    <w:rsid w:val="009264C7"/>
    <w:rsid w:val="00926F55"/>
    <w:rsid w:val="00927355"/>
    <w:rsid w:val="00927AD8"/>
    <w:rsid w:val="00927F24"/>
    <w:rsid w:val="00931B4D"/>
    <w:rsid w:val="00933578"/>
    <w:rsid w:val="00934843"/>
    <w:rsid w:val="00934E6E"/>
    <w:rsid w:val="00935F25"/>
    <w:rsid w:val="0094282A"/>
    <w:rsid w:val="00942CBD"/>
    <w:rsid w:val="0094355D"/>
    <w:rsid w:val="00943D86"/>
    <w:rsid w:val="0094500B"/>
    <w:rsid w:val="00951A21"/>
    <w:rsid w:val="00954629"/>
    <w:rsid w:val="009546E6"/>
    <w:rsid w:val="00954CFA"/>
    <w:rsid w:val="009562E2"/>
    <w:rsid w:val="00956DE4"/>
    <w:rsid w:val="009668B8"/>
    <w:rsid w:val="0096717D"/>
    <w:rsid w:val="0096751C"/>
    <w:rsid w:val="009679E4"/>
    <w:rsid w:val="009706AB"/>
    <w:rsid w:val="00971E51"/>
    <w:rsid w:val="0097331E"/>
    <w:rsid w:val="0097384E"/>
    <w:rsid w:val="009738C4"/>
    <w:rsid w:val="00974B8B"/>
    <w:rsid w:val="00975429"/>
    <w:rsid w:val="00976332"/>
    <w:rsid w:val="00976F12"/>
    <w:rsid w:val="009773DA"/>
    <w:rsid w:val="00977D7C"/>
    <w:rsid w:val="00980649"/>
    <w:rsid w:val="00980C63"/>
    <w:rsid w:val="009817F8"/>
    <w:rsid w:val="00981FCC"/>
    <w:rsid w:val="00984FCC"/>
    <w:rsid w:val="00985A1E"/>
    <w:rsid w:val="00985A93"/>
    <w:rsid w:val="00987724"/>
    <w:rsid w:val="009923C8"/>
    <w:rsid w:val="00994264"/>
    <w:rsid w:val="00995C95"/>
    <w:rsid w:val="00997A4E"/>
    <w:rsid w:val="00997F54"/>
    <w:rsid w:val="009A01AF"/>
    <w:rsid w:val="009A0E2B"/>
    <w:rsid w:val="009A2725"/>
    <w:rsid w:val="009A3732"/>
    <w:rsid w:val="009A4429"/>
    <w:rsid w:val="009A44D9"/>
    <w:rsid w:val="009A4EC2"/>
    <w:rsid w:val="009A5709"/>
    <w:rsid w:val="009A571F"/>
    <w:rsid w:val="009A5C69"/>
    <w:rsid w:val="009A5E34"/>
    <w:rsid w:val="009A7160"/>
    <w:rsid w:val="009B0220"/>
    <w:rsid w:val="009B15AE"/>
    <w:rsid w:val="009B22D8"/>
    <w:rsid w:val="009B25EA"/>
    <w:rsid w:val="009B2F3A"/>
    <w:rsid w:val="009B304D"/>
    <w:rsid w:val="009B32CE"/>
    <w:rsid w:val="009B40D9"/>
    <w:rsid w:val="009B4A2C"/>
    <w:rsid w:val="009B6121"/>
    <w:rsid w:val="009B6D4D"/>
    <w:rsid w:val="009B73D9"/>
    <w:rsid w:val="009C00C2"/>
    <w:rsid w:val="009C54AE"/>
    <w:rsid w:val="009C721A"/>
    <w:rsid w:val="009C7FA7"/>
    <w:rsid w:val="009D078C"/>
    <w:rsid w:val="009D143E"/>
    <w:rsid w:val="009D211C"/>
    <w:rsid w:val="009D2321"/>
    <w:rsid w:val="009D2A8B"/>
    <w:rsid w:val="009D3862"/>
    <w:rsid w:val="009D3883"/>
    <w:rsid w:val="009D56B7"/>
    <w:rsid w:val="009D5E67"/>
    <w:rsid w:val="009D5E95"/>
    <w:rsid w:val="009D6DB8"/>
    <w:rsid w:val="009D7A28"/>
    <w:rsid w:val="009E4666"/>
    <w:rsid w:val="009E4B8F"/>
    <w:rsid w:val="009E4CB9"/>
    <w:rsid w:val="009E640E"/>
    <w:rsid w:val="009F0869"/>
    <w:rsid w:val="009F1B51"/>
    <w:rsid w:val="009F1BB9"/>
    <w:rsid w:val="009F1D1C"/>
    <w:rsid w:val="009F3086"/>
    <w:rsid w:val="009F362F"/>
    <w:rsid w:val="009F373D"/>
    <w:rsid w:val="009F5040"/>
    <w:rsid w:val="009F644C"/>
    <w:rsid w:val="009F7B23"/>
    <w:rsid w:val="00A00617"/>
    <w:rsid w:val="00A0064F"/>
    <w:rsid w:val="00A03212"/>
    <w:rsid w:val="00A03805"/>
    <w:rsid w:val="00A03839"/>
    <w:rsid w:val="00A04D82"/>
    <w:rsid w:val="00A0581E"/>
    <w:rsid w:val="00A100D4"/>
    <w:rsid w:val="00A10285"/>
    <w:rsid w:val="00A10F61"/>
    <w:rsid w:val="00A12275"/>
    <w:rsid w:val="00A12586"/>
    <w:rsid w:val="00A12AD7"/>
    <w:rsid w:val="00A1377D"/>
    <w:rsid w:val="00A16A44"/>
    <w:rsid w:val="00A1705B"/>
    <w:rsid w:val="00A1751A"/>
    <w:rsid w:val="00A21305"/>
    <w:rsid w:val="00A219FB"/>
    <w:rsid w:val="00A23EB1"/>
    <w:rsid w:val="00A245DD"/>
    <w:rsid w:val="00A25A90"/>
    <w:rsid w:val="00A25CDE"/>
    <w:rsid w:val="00A3094F"/>
    <w:rsid w:val="00A32A62"/>
    <w:rsid w:val="00A32D0C"/>
    <w:rsid w:val="00A350E9"/>
    <w:rsid w:val="00A35991"/>
    <w:rsid w:val="00A3612D"/>
    <w:rsid w:val="00A417A8"/>
    <w:rsid w:val="00A4223D"/>
    <w:rsid w:val="00A44480"/>
    <w:rsid w:val="00A44E65"/>
    <w:rsid w:val="00A46F5D"/>
    <w:rsid w:val="00A474D2"/>
    <w:rsid w:val="00A474F8"/>
    <w:rsid w:val="00A50539"/>
    <w:rsid w:val="00A50DA0"/>
    <w:rsid w:val="00A5117B"/>
    <w:rsid w:val="00A53145"/>
    <w:rsid w:val="00A53E54"/>
    <w:rsid w:val="00A54BEB"/>
    <w:rsid w:val="00A5587B"/>
    <w:rsid w:val="00A56FCC"/>
    <w:rsid w:val="00A57582"/>
    <w:rsid w:val="00A60431"/>
    <w:rsid w:val="00A61063"/>
    <w:rsid w:val="00A61331"/>
    <w:rsid w:val="00A614BB"/>
    <w:rsid w:val="00A63C29"/>
    <w:rsid w:val="00A63F98"/>
    <w:rsid w:val="00A663F5"/>
    <w:rsid w:val="00A66542"/>
    <w:rsid w:val="00A67884"/>
    <w:rsid w:val="00A70F38"/>
    <w:rsid w:val="00A7397C"/>
    <w:rsid w:val="00A74A33"/>
    <w:rsid w:val="00A75949"/>
    <w:rsid w:val="00A779FB"/>
    <w:rsid w:val="00A8048C"/>
    <w:rsid w:val="00A80968"/>
    <w:rsid w:val="00A816AA"/>
    <w:rsid w:val="00A82111"/>
    <w:rsid w:val="00A8312D"/>
    <w:rsid w:val="00A83E49"/>
    <w:rsid w:val="00A85CC6"/>
    <w:rsid w:val="00A90563"/>
    <w:rsid w:val="00A9201E"/>
    <w:rsid w:val="00A93DBF"/>
    <w:rsid w:val="00A943AA"/>
    <w:rsid w:val="00A94BF2"/>
    <w:rsid w:val="00A94EC8"/>
    <w:rsid w:val="00A964A0"/>
    <w:rsid w:val="00A97C6B"/>
    <w:rsid w:val="00AA42B3"/>
    <w:rsid w:val="00AA4C65"/>
    <w:rsid w:val="00AA600B"/>
    <w:rsid w:val="00AA70BC"/>
    <w:rsid w:val="00AB0762"/>
    <w:rsid w:val="00AB0DB7"/>
    <w:rsid w:val="00AB0EA8"/>
    <w:rsid w:val="00AB50D9"/>
    <w:rsid w:val="00AB531C"/>
    <w:rsid w:val="00AB537C"/>
    <w:rsid w:val="00AB64AA"/>
    <w:rsid w:val="00AB6D56"/>
    <w:rsid w:val="00AC0699"/>
    <w:rsid w:val="00AC259E"/>
    <w:rsid w:val="00AC4364"/>
    <w:rsid w:val="00AC50CA"/>
    <w:rsid w:val="00AC646F"/>
    <w:rsid w:val="00AC682B"/>
    <w:rsid w:val="00AC6CF4"/>
    <w:rsid w:val="00AC7005"/>
    <w:rsid w:val="00AC79C6"/>
    <w:rsid w:val="00AC7D91"/>
    <w:rsid w:val="00AD0954"/>
    <w:rsid w:val="00AD13D8"/>
    <w:rsid w:val="00AD16C8"/>
    <w:rsid w:val="00AD3CA7"/>
    <w:rsid w:val="00AD4472"/>
    <w:rsid w:val="00AD460D"/>
    <w:rsid w:val="00AD69BF"/>
    <w:rsid w:val="00AD7211"/>
    <w:rsid w:val="00AD747D"/>
    <w:rsid w:val="00AE06DB"/>
    <w:rsid w:val="00AE0882"/>
    <w:rsid w:val="00AE15B3"/>
    <w:rsid w:val="00AE1AA8"/>
    <w:rsid w:val="00AE1E44"/>
    <w:rsid w:val="00AE2733"/>
    <w:rsid w:val="00AE2EB5"/>
    <w:rsid w:val="00AE32E6"/>
    <w:rsid w:val="00AE67CE"/>
    <w:rsid w:val="00AE7394"/>
    <w:rsid w:val="00AF0D2A"/>
    <w:rsid w:val="00AF3453"/>
    <w:rsid w:val="00AF3856"/>
    <w:rsid w:val="00AF38F4"/>
    <w:rsid w:val="00AF4F60"/>
    <w:rsid w:val="00AF684A"/>
    <w:rsid w:val="00AF6DB2"/>
    <w:rsid w:val="00B0190A"/>
    <w:rsid w:val="00B037C4"/>
    <w:rsid w:val="00B045E1"/>
    <w:rsid w:val="00B04F51"/>
    <w:rsid w:val="00B07AC8"/>
    <w:rsid w:val="00B10606"/>
    <w:rsid w:val="00B11050"/>
    <w:rsid w:val="00B11BF6"/>
    <w:rsid w:val="00B12694"/>
    <w:rsid w:val="00B1405C"/>
    <w:rsid w:val="00B14614"/>
    <w:rsid w:val="00B158FA"/>
    <w:rsid w:val="00B15C45"/>
    <w:rsid w:val="00B1608D"/>
    <w:rsid w:val="00B161C5"/>
    <w:rsid w:val="00B16B67"/>
    <w:rsid w:val="00B17984"/>
    <w:rsid w:val="00B17FCC"/>
    <w:rsid w:val="00B2138C"/>
    <w:rsid w:val="00B21EC6"/>
    <w:rsid w:val="00B23076"/>
    <w:rsid w:val="00B2484B"/>
    <w:rsid w:val="00B24A00"/>
    <w:rsid w:val="00B25439"/>
    <w:rsid w:val="00B30102"/>
    <w:rsid w:val="00B310C0"/>
    <w:rsid w:val="00B31540"/>
    <w:rsid w:val="00B31606"/>
    <w:rsid w:val="00B32D35"/>
    <w:rsid w:val="00B3399A"/>
    <w:rsid w:val="00B33E8A"/>
    <w:rsid w:val="00B367C9"/>
    <w:rsid w:val="00B408D6"/>
    <w:rsid w:val="00B427F7"/>
    <w:rsid w:val="00B45B55"/>
    <w:rsid w:val="00B47763"/>
    <w:rsid w:val="00B501EC"/>
    <w:rsid w:val="00B50C54"/>
    <w:rsid w:val="00B510CB"/>
    <w:rsid w:val="00B5120C"/>
    <w:rsid w:val="00B525CC"/>
    <w:rsid w:val="00B5293E"/>
    <w:rsid w:val="00B533A7"/>
    <w:rsid w:val="00B53626"/>
    <w:rsid w:val="00B54DD4"/>
    <w:rsid w:val="00B553F1"/>
    <w:rsid w:val="00B55D27"/>
    <w:rsid w:val="00B55EFA"/>
    <w:rsid w:val="00B56073"/>
    <w:rsid w:val="00B5647A"/>
    <w:rsid w:val="00B60E61"/>
    <w:rsid w:val="00B619A3"/>
    <w:rsid w:val="00B621C9"/>
    <w:rsid w:val="00B6421D"/>
    <w:rsid w:val="00B648B0"/>
    <w:rsid w:val="00B64B70"/>
    <w:rsid w:val="00B64EF1"/>
    <w:rsid w:val="00B65217"/>
    <w:rsid w:val="00B65229"/>
    <w:rsid w:val="00B66140"/>
    <w:rsid w:val="00B67956"/>
    <w:rsid w:val="00B735BE"/>
    <w:rsid w:val="00B7364A"/>
    <w:rsid w:val="00B75E7C"/>
    <w:rsid w:val="00B76328"/>
    <w:rsid w:val="00B80207"/>
    <w:rsid w:val="00B81D95"/>
    <w:rsid w:val="00B83757"/>
    <w:rsid w:val="00B83DE8"/>
    <w:rsid w:val="00B83E19"/>
    <w:rsid w:val="00B85411"/>
    <w:rsid w:val="00B85F88"/>
    <w:rsid w:val="00B86B2D"/>
    <w:rsid w:val="00B87415"/>
    <w:rsid w:val="00B87662"/>
    <w:rsid w:val="00B901D2"/>
    <w:rsid w:val="00B92741"/>
    <w:rsid w:val="00B929BC"/>
    <w:rsid w:val="00B92A67"/>
    <w:rsid w:val="00B94B68"/>
    <w:rsid w:val="00B95691"/>
    <w:rsid w:val="00B95E2F"/>
    <w:rsid w:val="00B978BD"/>
    <w:rsid w:val="00B979BA"/>
    <w:rsid w:val="00BA00FF"/>
    <w:rsid w:val="00BA0E38"/>
    <w:rsid w:val="00BA43EB"/>
    <w:rsid w:val="00BA5F85"/>
    <w:rsid w:val="00BA6C50"/>
    <w:rsid w:val="00BA75F8"/>
    <w:rsid w:val="00BA767D"/>
    <w:rsid w:val="00BB0826"/>
    <w:rsid w:val="00BB607D"/>
    <w:rsid w:val="00BB76F9"/>
    <w:rsid w:val="00BC06D9"/>
    <w:rsid w:val="00BC48C0"/>
    <w:rsid w:val="00BC50E0"/>
    <w:rsid w:val="00BC5A14"/>
    <w:rsid w:val="00BC6481"/>
    <w:rsid w:val="00BC6B5A"/>
    <w:rsid w:val="00BC7106"/>
    <w:rsid w:val="00BC781B"/>
    <w:rsid w:val="00BC7D68"/>
    <w:rsid w:val="00BD2FBB"/>
    <w:rsid w:val="00BD323C"/>
    <w:rsid w:val="00BD4C26"/>
    <w:rsid w:val="00BD5771"/>
    <w:rsid w:val="00BD7A06"/>
    <w:rsid w:val="00BD7C9D"/>
    <w:rsid w:val="00BE2852"/>
    <w:rsid w:val="00BE2A83"/>
    <w:rsid w:val="00BE4BC8"/>
    <w:rsid w:val="00BE4D81"/>
    <w:rsid w:val="00BE57AE"/>
    <w:rsid w:val="00BE5C58"/>
    <w:rsid w:val="00BE710E"/>
    <w:rsid w:val="00BF082B"/>
    <w:rsid w:val="00BF08A2"/>
    <w:rsid w:val="00BF0BA7"/>
    <w:rsid w:val="00BF1437"/>
    <w:rsid w:val="00BF1A30"/>
    <w:rsid w:val="00BF25D3"/>
    <w:rsid w:val="00BF2B7C"/>
    <w:rsid w:val="00BF3BA4"/>
    <w:rsid w:val="00BF4689"/>
    <w:rsid w:val="00BF5647"/>
    <w:rsid w:val="00BF728A"/>
    <w:rsid w:val="00C0059E"/>
    <w:rsid w:val="00C00F13"/>
    <w:rsid w:val="00C018F6"/>
    <w:rsid w:val="00C025AB"/>
    <w:rsid w:val="00C04235"/>
    <w:rsid w:val="00C042B3"/>
    <w:rsid w:val="00C047DD"/>
    <w:rsid w:val="00C05952"/>
    <w:rsid w:val="00C05D4C"/>
    <w:rsid w:val="00C075FA"/>
    <w:rsid w:val="00C07772"/>
    <w:rsid w:val="00C11DEF"/>
    <w:rsid w:val="00C152CA"/>
    <w:rsid w:val="00C15FE1"/>
    <w:rsid w:val="00C20B8F"/>
    <w:rsid w:val="00C20B9A"/>
    <w:rsid w:val="00C219D5"/>
    <w:rsid w:val="00C223FE"/>
    <w:rsid w:val="00C2308D"/>
    <w:rsid w:val="00C23183"/>
    <w:rsid w:val="00C244BD"/>
    <w:rsid w:val="00C2562B"/>
    <w:rsid w:val="00C25E8A"/>
    <w:rsid w:val="00C278C9"/>
    <w:rsid w:val="00C30416"/>
    <w:rsid w:val="00C30A6F"/>
    <w:rsid w:val="00C30B3E"/>
    <w:rsid w:val="00C30DF3"/>
    <w:rsid w:val="00C318DE"/>
    <w:rsid w:val="00C33453"/>
    <w:rsid w:val="00C401DE"/>
    <w:rsid w:val="00C405C9"/>
    <w:rsid w:val="00C4392B"/>
    <w:rsid w:val="00C44850"/>
    <w:rsid w:val="00C460E4"/>
    <w:rsid w:val="00C463DC"/>
    <w:rsid w:val="00C47B74"/>
    <w:rsid w:val="00C5050F"/>
    <w:rsid w:val="00C50F47"/>
    <w:rsid w:val="00C52198"/>
    <w:rsid w:val="00C524B6"/>
    <w:rsid w:val="00C531FA"/>
    <w:rsid w:val="00C53B05"/>
    <w:rsid w:val="00C53B8B"/>
    <w:rsid w:val="00C5603A"/>
    <w:rsid w:val="00C5795F"/>
    <w:rsid w:val="00C60B18"/>
    <w:rsid w:val="00C60D20"/>
    <w:rsid w:val="00C619DC"/>
    <w:rsid w:val="00C64576"/>
    <w:rsid w:val="00C64FB1"/>
    <w:rsid w:val="00C67650"/>
    <w:rsid w:val="00C70219"/>
    <w:rsid w:val="00C70A2B"/>
    <w:rsid w:val="00C7231A"/>
    <w:rsid w:val="00C734E4"/>
    <w:rsid w:val="00C74B5A"/>
    <w:rsid w:val="00C80319"/>
    <w:rsid w:val="00C81A12"/>
    <w:rsid w:val="00C81C69"/>
    <w:rsid w:val="00C83DD4"/>
    <w:rsid w:val="00C85BFF"/>
    <w:rsid w:val="00C873A4"/>
    <w:rsid w:val="00C90EA9"/>
    <w:rsid w:val="00CA0D4F"/>
    <w:rsid w:val="00CA1224"/>
    <w:rsid w:val="00CA1397"/>
    <w:rsid w:val="00CA519E"/>
    <w:rsid w:val="00CA7DE4"/>
    <w:rsid w:val="00CB165F"/>
    <w:rsid w:val="00CB18A2"/>
    <w:rsid w:val="00CB2FE4"/>
    <w:rsid w:val="00CB3621"/>
    <w:rsid w:val="00CB4A68"/>
    <w:rsid w:val="00CC1380"/>
    <w:rsid w:val="00CC47FF"/>
    <w:rsid w:val="00CC4B2C"/>
    <w:rsid w:val="00CC7D91"/>
    <w:rsid w:val="00CD08DD"/>
    <w:rsid w:val="00CD1A96"/>
    <w:rsid w:val="00CD2824"/>
    <w:rsid w:val="00CD2BB2"/>
    <w:rsid w:val="00CD6203"/>
    <w:rsid w:val="00CD7641"/>
    <w:rsid w:val="00CE05DB"/>
    <w:rsid w:val="00CE0777"/>
    <w:rsid w:val="00CE1474"/>
    <w:rsid w:val="00CE2393"/>
    <w:rsid w:val="00CE26D7"/>
    <w:rsid w:val="00CE2E2F"/>
    <w:rsid w:val="00CE36F1"/>
    <w:rsid w:val="00CE380B"/>
    <w:rsid w:val="00CE3FF2"/>
    <w:rsid w:val="00CE5260"/>
    <w:rsid w:val="00CE56AB"/>
    <w:rsid w:val="00CE6395"/>
    <w:rsid w:val="00CE6BE3"/>
    <w:rsid w:val="00CE7641"/>
    <w:rsid w:val="00CE77D7"/>
    <w:rsid w:val="00CF0FFD"/>
    <w:rsid w:val="00CF4162"/>
    <w:rsid w:val="00CF4528"/>
    <w:rsid w:val="00CF59D2"/>
    <w:rsid w:val="00CF74B8"/>
    <w:rsid w:val="00D01374"/>
    <w:rsid w:val="00D02E0E"/>
    <w:rsid w:val="00D03028"/>
    <w:rsid w:val="00D030AA"/>
    <w:rsid w:val="00D05292"/>
    <w:rsid w:val="00D05363"/>
    <w:rsid w:val="00D05C99"/>
    <w:rsid w:val="00D07E6C"/>
    <w:rsid w:val="00D125AC"/>
    <w:rsid w:val="00D12F91"/>
    <w:rsid w:val="00D13E2D"/>
    <w:rsid w:val="00D14AAA"/>
    <w:rsid w:val="00D155DC"/>
    <w:rsid w:val="00D15C7E"/>
    <w:rsid w:val="00D17DBC"/>
    <w:rsid w:val="00D20D5C"/>
    <w:rsid w:val="00D21EDC"/>
    <w:rsid w:val="00D23502"/>
    <w:rsid w:val="00D237D5"/>
    <w:rsid w:val="00D242BD"/>
    <w:rsid w:val="00D2545E"/>
    <w:rsid w:val="00D256F9"/>
    <w:rsid w:val="00D263F3"/>
    <w:rsid w:val="00D2714E"/>
    <w:rsid w:val="00D3123C"/>
    <w:rsid w:val="00D336EC"/>
    <w:rsid w:val="00D3373B"/>
    <w:rsid w:val="00D34071"/>
    <w:rsid w:val="00D34AAF"/>
    <w:rsid w:val="00D36E59"/>
    <w:rsid w:val="00D40367"/>
    <w:rsid w:val="00D40956"/>
    <w:rsid w:val="00D43162"/>
    <w:rsid w:val="00D43D7C"/>
    <w:rsid w:val="00D44FB4"/>
    <w:rsid w:val="00D4527D"/>
    <w:rsid w:val="00D46872"/>
    <w:rsid w:val="00D46BED"/>
    <w:rsid w:val="00D46DD0"/>
    <w:rsid w:val="00D47142"/>
    <w:rsid w:val="00D51D58"/>
    <w:rsid w:val="00D53476"/>
    <w:rsid w:val="00D53D4E"/>
    <w:rsid w:val="00D55309"/>
    <w:rsid w:val="00D567D8"/>
    <w:rsid w:val="00D56A56"/>
    <w:rsid w:val="00D601BE"/>
    <w:rsid w:val="00D624FA"/>
    <w:rsid w:val="00D643A6"/>
    <w:rsid w:val="00D648DD"/>
    <w:rsid w:val="00D6587D"/>
    <w:rsid w:val="00D66F15"/>
    <w:rsid w:val="00D71C76"/>
    <w:rsid w:val="00D7210F"/>
    <w:rsid w:val="00D72DDC"/>
    <w:rsid w:val="00D73733"/>
    <w:rsid w:val="00D747D3"/>
    <w:rsid w:val="00D761A3"/>
    <w:rsid w:val="00D76873"/>
    <w:rsid w:val="00D8078E"/>
    <w:rsid w:val="00D8377A"/>
    <w:rsid w:val="00D83D65"/>
    <w:rsid w:val="00D84ED5"/>
    <w:rsid w:val="00D85B18"/>
    <w:rsid w:val="00D85ED0"/>
    <w:rsid w:val="00D874D3"/>
    <w:rsid w:val="00D87815"/>
    <w:rsid w:val="00D900A0"/>
    <w:rsid w:val="00D93BE8"/>
    <w:rsid w:val="00D93F81"/>
    <w:rsid w:val="00D94428"/>
    <w:rsid w:val="00D94683"/>
    <w:rsid w:val="00D9558B"/>
    <w:rsid w:val="00D957E5"/>
    <w:rsid w:val="00D95832"/>
    <w:rsid w:val="00D965A7"/>
    <w:rsid w:val="00D979E5"/>
    <w:rsid w:val="00DA1DA5"/>
    <w:rsid w:val="00DA39F0"/>
    <w:rsid w:val="00DA499D"/>
    <w:rsid w:val="00DA4A8E"/>
    <w:rsid w:val="00DA52DE"/>
    <w:rsid w:val="00DA673D"/>
    <w:rsid w:val="00DB15E7"/>
    <w:rsid w:val="00DB1B75"/>
    <w:rsid w:val="00DB3214"/>
    <w:rsid w:val="00DB7338"/>
    <w:rsid w:val="00DB7D09"/>
    <w:rsid w:val="00DB7FF7"/>
    <w:rsid w:val="00DC161E"/>
    <w:rsid w:val="00DC4412"/>
    <w:rsid w:val="00DC4F79"/>
    <w:rsid w:val="00DC700B"/>
    <w:rsid w:val="00DC7BA5"/>
    <w:rsid w:val="00DD02DE"/>
    <w:rsid w:val="00DD1630"/>
    <w:rsid w:val="00DD2160"/>
    <w:rsid w:val="00DD409B"/>
    <w:rsid w:val="00DD5611"/>
    <w:rsid w:val="00DD5986"/>
    <w:rsid w:val="00DE07A3"/>
    <w:rsid w:val="00DE109C"/>
    <w:rsid w:val="00DE2590"/>
    <w:rsid w:val="00DE28F7"/>
    <w:rsid w:val="00DE4286"/>
    <w:rsid w:val="00DE52B1"/>
    <w:rsid w:val="00DE60E8"/>
    <w:rsid w:val="00DE7687"/>
    <w:rsid w:val="00DE7FC8"/>
    <w:rsid w:val="00DF1DD2"/>
    <w:rsid w:val="00DF35FC"/>
    <w:rsid w:val="00DF4C2E"/>
    <w:rsid w:val="00DF5546"/>
    <w:rsid w:val="00E015F4"/>
    <w:rsid w:val="00E02C7F"/>
    <w:rsid w:val="00E045EB"/>
    <w:rsid w:val="00E04FA7"/>
    <w:rsid w:val="00E05692"/>
    <w:rsid w:val="00E05729"/>
    <w:rsid w:val="00E068EF"/>
    <w:rsid w:val="00E07DDF"/>
    <w:rsid w:val="00E106CC"/>
    <w:rsid w:val="00E10856"/>
    <w:rsid w:val="00E14889"/>
    <w:rsid w:val="00E14B57"/>
    <w:rsid w:val="00E17897"/>
    <w:rsid w:val="00E20878"/>
    <w:rsid w:val="00E20A48"/>
    <w:rsid w:val="00E212CD"/>
    <w:rsid w:val="00E2161F"/>
    <w:rsid w:val="00E23D5C"/>
    <w:rsid w:val="00E26838"/>
    <w:rsid w:val="00E27A1A"/>
    <w:rsid w:val="00E27CD0"/>
    <w:rsid w:val="00E27F4A"/>
    <w:rsid w:val="00E30092"/>
    <w:rsid w:val="00E306FA"/>
    <w:rsid w:val="00E30F8E"/>
    <w:rsid w:val="00E3226A"/>
    <w:rsid w:val="00E33135"/>
    <w:rsid w:val="00E350DA"/>
    <w:rsid w:val="00E40C89"/>
    <w:rsid w:val="00E44314"/>
    <w:rsid w:val="00E46F0A"/>
    <w:rsid w:val="00E5094F"/>
    <w:rsid w:val="00E52A27"/>
    <w:rsid w:val="00E52A65"/>
    <w:rsid w:val="00E52A78"/>
    <w:rsid w:val="00E54BAE"/>
    <w:rsid w:val="00E5576F"/>
    <w:rsid w:val="00E56B3D"/>
    <w:rsid w:val="00E56DA0"/>
    <w:rsid w:val="00E57BF2"/>
    <w:rsid w:val="00E60509"/>
    <w:rsid w:val="00E605AB"/>
    <w:rsid w:val="00E623C6"/>
    <w:rsid w:val="00E62731"/>
    <w:rsid w:val="00E6464A"/>
    <w:rsid w:val="00E67278"/>
    <w:rsid w:val="00E7083A"/>
    <w:rsid w:val="00E717EE"/>
    <w:rsid w:val="00E72A1E"/>
    <w:rsid w:val="00E7312C"/>
    <w:rsid w:val="00E737B5"/>
    <w:rsid w:val="00E74166"/>
    <w:rsid w:val="00E7530E"/>
    <w:rsid w:val="00E770F5"/>
    <w:rsid w:val="00E77D0D"/>
    <w:rsid w:val="00E80DFC"/>
    <w:rsid w:val="00E8334E"/>
    <w:rsid w:val="00E85A70"/>
    <w:rsid w:val="00E86903"/>
    <w:rsid w:val="00E872FE"/>
    <w:rsid w:val="00E90217"/>
    <w:rsid w:val="00E908F2"/>
    <w:rsid w:val="00E90FE4"/>
    <w:rsid w:val="00E91488"/>
    <w:rsid w:val="00E915BD"/>
    <w:rsid w:val="00E91C7B"/>
    <w:rsid w:val="00E95A8F"/>
    <w:rsid w:val="00E96979"/>
    <w:rsid w:val="00EA0033"/>
    <w:rsid w:val="00EA0F38"/>
    <w:rsid w:val="00EA13AE"/>
    <w:rsid w:val="00EA73EF"/>
    <w:rsid w:val="00EB1831"/>
    <w:rsid w:val="00EB2F2D"/>
    <w:rsid w:val="00EB3C9F"/>
    <w:rsid w:val="00EB3D3C"/>
    <w:rsid w:val="00EB51E7"/>
    <w:rsid w:val="00EB5A34"/>
    <w:rsid w:val="00EB6771"/>
    <w:rsid w:val="00EB6CE4"/>
    <w:rsid w:val="00EB7113"/>
    <w:rsid w:val="00EB7564"/>
    <w:rsid w:val="00EC06BA"/>
    <w:rsid w:val="00EC1D05"/>
    <w:rsid w:val="00EC30D6"/>
    <w:rsid w:val="00EC4F74"/>
    <w:rsid w:val="00EC599B"/>
    <w:rsid w:val="00EC5C40"/>
    <w:rsid w:val="00EC69A8"/>
    <w:rsid w:val="00EC70F0"/>
    <w:rsid w:val="00ED0581"/>
    <w:rsid w:val="00ED0C20"/>
    <w:rsid w:val="00ED2ACE"/>
    <w:rsid w:val="00ED4BDC"/>
    <w:rsid w:val="00ED4F72"/>
    <w:rsid w:val="00ED76E9"/>
    <w:rsid w:val="00ED7B0C"/>
    <w:rsid w:val="00EE0830"/>
    <w:rsid w:val="00EE121C"/>
    <w:rsid w:val="00EE30ED"/>
    <w:rsid w:val="00EE3525"/>
    <w:rsid w:val="00EE45E3"/>
    <w:rsid w:val="00EE552F"/>
    <w:rsid w:val="00EE6D10"/>
    <w:rsid w:val="00EE6E7F"/>
    <w:rsid w:val="00EF2FF8"/>
    <w:rsid w:val="00EF3AE0"/>
    <w:rsid w:val="00EF3BB3"/>
    <w:rsid w:val="00EF4797"/>
    <w:rsid w:val="00EF4DCD"/>
    <w:rsid w:val="00EF62BF"/>
    <w:rsid w:val="00EF7A2E"/>
    <w:rsid w:val="00F01310"/>
    <w:rsid w:val="00F01BA7"/>
    <w:rsid w:val="00F054DE"/>
    <w:rsid w:val="00F07115"/>
    <w:rsid w:val="00F0753E"/>
    <w:rsid w:val="00F12AD1"/>
    <w:rsid w:val="00F12B9C"/>
    <w:rsid w:val="00F12F07"/>
    <w:rsid w:val="00F14147"/>
    <w:rsid w:val="00F148BE"/>
    <w:rsid w:val="00F15E23"/>
    <w:rsid w:val="00F16AA7"/>
    <w:rsid w:val="00F16E09"/>
    <w:rsid w:val="00F16E34"/>
    <w:rsid w:val="00F203C3"/>
    <w:rsid w:val="00F20F82"/>
    <w:rsid w:val="00F2284C"/>
    <w:rsid w:val="00F278F7"/>
    <w:rsid w:val="00F303D0"/>
    <w:rsid w:val="00F30C61"/>
    <w:rsid w:val="00F30E30"/>
    <w:rsid w:val="00F314C9"/>
    <w:rsid w:val="00F31A13"/>
    <w:rsid w:val="00F328B6"/>
    <w:rsid w:val="00F34104"/>
    <w:rsid w:val="00F34395"/>
    <w:rsid w:val="00F34CAD"/>
    <w:rsid w:val="00F35D60"/>
    <w:rsid w:val="00F361D9"/>
    <w:rsid w:val="00F40F3A"/>
    <w:rsid w:val="00F4268F"/>
    <w:rsid w:val="00F44C9E"/>
    <w:rsid w:val="00F454F3"/>
    <w:rsid w:val="00F502BF"/>
    <w:rsid w:val="00F50AA4"/>
    <w:rsid w:val="00F51060"/>
    <w:rsid w:val="00F51372"/>
    <w:rsid w:val="00F516E8"/>
    <w:rsid w:val="00F5236E"/>
    <w:rsid w:val="00F52EEF"/>
    <w:rsid w:val="00F53246"/>
    <w:rsid w:val="00F545A1"/>
    <w:rsid w:val="00F57645"/>
    <w:rsid w:val="00F57E94"/>
    <w:rsid w:val="00F603C8"/>
    <w:rsid w:val="00F60474"/>
    <w:rsid w:val="00F6055A"/>
    <w:rsid w:val="00F61B71"/>
    <w:rsid w:val="00F640C3"/>
    <w:rsid w:val="00F66D50"/>
    <w:rsid w:val="00F674BA"/>
    <w:rsid w:val="00F72AA8"/>
    <w:rsid w:val="00F74B61"/>
    <w:rsid w:val="00F75B11"/>
    <w:rsid w:val="00F75C6B"/>
    <w:rsid w:val="00F76701"/>
    <w:rsid w:val="00F77659"/>
    <w:rsid w:val="00F80854"/>
    <w:rsid w:val="00F8176E"/>
    <w:rsid w:val="00F82B22"/>
    <w:rsid w:val="00F82D97"/>
    <w:rsid w:val="00F82E5E"/>
    <w:rsid w:val="00F849D0"/>
    <w:rsid w:val="00F8516C"/>
    <w:rsid w:val="00F85910"/>
    <w:rsid w:val="00F867A3"/>
    <w:rsid w:val="00F874BA"/>
    <w:rsid w:val="00F90F9F"/>
    <w:rsid w:val="00F923DE"/>
    <w:rsid w:val="00F929DB"/>
    <w:rsid w:val="00F93C91"/>
    <w:rsid w:val="00F9464B"/>
    <w:rsid w:val="00F95C5B"/>
    <w:rsid w:val="00F961E3"/>
    <w:rsid w:val="00F97788"/>
    <w:rsid w:val="00FA1036"/>
    <w:rsid w:val="00FA24EA"/>
    <w:rsid w:val="00FA28C3"/>
    <w:rsid w:val="00FA2C5B"/>
    <w:rsid w:val="00FA35F6"/>
    <w:rsid w:val="00FA3E01"/>
    <w:rsid w:val="00FA45B1"/>
    <w:rsid w:val="00FB1A96"/>
    <w:rsid w:val="00FB59C1"/>
    <w:rsid w:val="00FB635B"/>
    <w:rsid w:val="00FB7CBA"/>
    <w:rsid w:val="00FC03C1"/>
    <w:rsid w:val="00FC109E"/>
    <w:rsid w:val="00FC1AFA"/>
    <w:rsid w:val="00FC4834"/>
    <w:rsid w:val="00FC6ACF"/>
    <w:rsid w:val="00FC6F67"/>
    <w:rsid w:val="00FC74FD"/>
    <w:rsid w:val="00FD0161"/>
    <w:rsid w:val="00FD0E0C"/>
    <w:rsid w:val="00FD12AD"/>
    <w:rsid w:val="00FD1AA2"/>
    <w:rsid w:val="00FD256F"/>
    <w:rsid w:val="00FD3337"/>
    <w:rsid w:val="00FD37E2"/>
    <w:rsid w:val="00FD50E6"/>
    <w:rsid w:val="00FD63D9"/>
    <w:rsid w:val="00FD7AC0"/>
    <w:rsid w:val="00FE08A1"/>
    <w:rsid w:val="00FE1EEC"/>
    <w:rsid w:val="00FE3407"/>
    <w:rsid w:val="00FE4131"/>
    <w:rsid w:val="00FE4A0A"/>
    <w:rsid w:val="00FE4D7D"/>
    <w:rsid w:val="00FE59F9"/>
    <w:rsid w:val="00FE5E40"/>
    <w:rsid w:val="00FE6796"/>
    <w:rsid w:val="00FE6888"/>
    <w:rsid w:val="00FE6A43"/>
    <w:rsid w:val="00FE6AC1"/>
    <w:rsid w:val="00FF016E"/>
    <w:rsid w:val="00FF0B48"/>
    <w:rsid w:val="00FF10DC"/>
    <w:rsid w:val="00FF28A7"/>
    <w:rsid w:val="00FF3A0E"/>
    <w:rsid w:val="00FF3E3A"/>
    <w:rsid w:val="00FF5408"/>
    <w:rsid w:val="00FF7CF2"/>
    <w:rsid w:val="01301A70"/>
    <w:rsid w:val="01535EBC"/>
    <w:rsid w:val="01A051A5"/>
    <w:rsid w:val="01AD6336"/>
    <w:rsid w:val="01AD73F5"/>
    <w:rsid w:val="01D80251"/>
    <w:rsid w:val="01E8211B"/>
    <w:rsid w:val="01ED2F4F"/>
    <w:rsid w:val="021676AC"/>
    <w:rsid w:val="022005DB"/>
    <w:rsid w:val="029A6F8B"/>
    <w:rsid w:val="02B61011"/>
    <w:rsid w:val="031E77DD"/>
    <w:rsid w:val="032F2A05"/>
    <w:rsid w:val="033D4C36"/>
    <w:rsid w:val="038627B8"/>
    <w:rsid w:val="03CF5743"/>
    <w:rsid w:val="04115339"/>
    <w:rsid w:val="04122769"/>
    <w:rsid w:val="041B3FB5"/>
    <w:rsid w:val="0441000A"/>
    <w:rsid w:val="04424A26"/>
    <w:rsid w:val="04686D89"/>
    <w:rsid w:val="04BC240B"/>
    <w:rsid w:val="04BE3BD3"/>
    <w:rsid w:val="04E57349"/>
    <w:rsid w:val="058F5409"/>
    <w:rsid w:val="05A51DB9"/>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975E0D"/>
    <w:rsid w:val="07FA29C5"/>
    <w:rsid w:val="0806057A"/>
    <w:rsid w:val="084A2556"/>
    <w:rsid w:val="087255D0"/>
    <w:rsid w:val="088E4584"/>
    <w:rsid w:val="08A477F9"/>
    <w:rsid w:val="08D02C41"/>
    <w:rsid w:val="08E73A74"/>
    <w:rsid w:val="08E73F86"/>
    <w:rsid w:val="08F45AE2"/>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D8076E"/>
    <w:rsid w:val="0D3614D2"/>
    <w:rsid w:val="0D4A190D"/>
    <w:rsid w:val="0D4E23A3"/>
    <w:rsid w:val="0D871014"/>
    <w:rsid w:val="0D9A18D0"/>
    <w:rsid w:val="0DD0188F"/>
    <w:rsid w:val="0DE0505C"/>
    <w:rsid w:val="0E264CC8"/>
    <w:rsid w:val="0E6B3D1C"/>
    <w:rsid w:val="0E74349E"/>
    <w:rsid w:val="0E7E64AC"/>
    <w:rsid w:val="0E865C18"/>
    <w:rsid w:val="0E9374EA"/>
    <w:rsid w:val="0EB94892"/>
    <w:rsid w:val="0F012471"/>
    <w:rsid w:val="0F09353F"/>
    <w:rsid w:val="0F2E2D2F"/>
    <w:rsid w:val="0F380138"/>
    <w:rsid w:val="0F4C40F9"/>
    <w:rsid w:val="0F571F81"/>
    <w:rsid w:val="0F5F7948"/>
    <w:rsid w:val="0F991079"/>
    <w:rsid w:val="0FA13584"/>
    <w:rsid w:val="100573B4"/>
    <w:rsid w:val="10BE71C3"/>
    <w:rsid w:val="10F61CD8"/>
    <w:rsid w:val="10FB4A31"/>
    <w:rsid w:val="11337EFB"/>
    <w:rsid w:val="115713ED"/>
    <w:rsid w:val="11600A16"/>
    <w:rsid w:val="11707147"/>
    <w:rsid w:val="11761878"/>
    <w:rsid w:val="118A635C"/>
    <w:rsid w:val="11D34FC9"/>
    <w:rsid w:val="11EF38B8"/>
    <w:rsid w:val="124203BC"/>
    <w:rsid w:val="12456039"/>
    <w:rsid w:val="12606FE4"/>
    <w:rsid w:val="126C5962"/>
    <w:rsid w:val="12F533CD"/>
    <w:rsid w:val="12F66907"/>
    <w:rsid w:val="13095F67"/>
    <w:rsid w:val="130A6356"/>
    <w:rsid w:val="132066F4"/>
    <w:rsid w:val="134637F3"/>
    <w:rsid w:val="1360576D"/>
    <w:rsid w:val="137463DF"/>
    <w:rsid w:val="13815BD8"/>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595AD6"/>
    <w:rsid w:val="165D02EF"/>
    <w:rsid w:val="166E3243"/>
    <w:rsid w:val="168B794A"/>
    <w:rsid w:val="1690726E"/>
    <w:rsid w:val="16B35A36"/>
    <w:rsid w:val="16D1158E"/>
    <w:rsid w:val="16FF48BD"/>
    <w:rsid w:val="17183CC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AC6797"/>
    <w:rsid w:val="19FE3D52"/>
    <w:rsid w:val="1A182E22"/>
    <w:rsid w:val="1A680331"/>
    <w:rsid w:val="1A7C2890"/>
    <w:rsid w:val="1AA846CB"/>
    <w:rsid w:val="1AA8733D"/>
    <w:rsid w:val="1B0051DB"/>
    <w:rsid w:val="1B1D327A"/>
    <w:rsid w:val="1B324FB0"/>
    <w:rsid w:val="1B5653C7"/>
    <w:rsid w:val="1B807109"/>
    <w:rsid w:val="1B975ED5"/>
    <w:rsid w:val="1BAF2B27"/>
    <w:rsid w:val="1C0A6142"/>
    <w:rsid w:val="1C594598"/>
    <w:rsid w:val="1C7976A4"/>
    <w:rsid w:val="1C8735BD"/>
    <w:rsid w:val="1C8A1334"/>
    <w:rsid w:val="1D0B0A16"/>
    <w:rsid w:val="1D3212A4"/>
    <w:rsid w:val="1D4B08BC"/>
    <w:rsid w:val="1D650CC3"/>
    <w:rsid w:val="1DF36F10"/>
    <w:rsid w:val="1E1A3914"/>
    <w:rsid w:val="1E227125"/>
    <w:rsid w:val="1E5B735D"/>
    <w:rsid w:val="1EBE11B1"/>
    <w:rsid w:val="1EC63D7C"/>
    <w:rsid w:val="1EE13120"/>
    <w:rsid w:val="1EEC1248"/>
    <w:rsid w:val="1EF24A99"/>
    <w:rsid w:val="1F145E2D"/>
    <w:rsid w:val="1F4D61EB"/>
    <w:rsid w:val="1F9A6A11"/>
    <w:rsid w:val="1FD41E96"/>
    <w:rsid w:val="1FFC1DC4"/>
    <w:rsid w:val="207E6C00"/>
    <w:rsid w:val="20831983"/>
    <w:rsid w:val="20A0176D"/>
    <w:rsid w:val="20B2740F"/>
    <w:rsid w:val="21396CB8"/>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123EB2"/>
    <w:rsid w:val="245501C2"/>
    <w:rsid w:val="248E0544"/>
    <w:rsid w:val="249A1EB1"/>
    <w:rsid w:val="24E07E36"/>
    <w:rsid w:val="25027CEC"/>
    <w:rsid w:val="251A47DB"/>
    <w:rsid w:val="258D01A9"/>
    <w:rsid w:val="25B52C71"/>
    <w:rsid w:val="25D474A1"/>
    <w:rsid w:val="25E01AE5"/>
    <w:rsid w:val="25F8035B"/>
    <w:rsid w:val="260C0C73"/>
    <w:rsid w:val="263458F1"/>
    <w:rsid w:val="264D707C"/>
    <w:rsid w:val="265B10B1"/>
    <w:rsid w:val="26AF4890"/>
    <w:rsid w:val="26C679EB"/>
    <w:rsid w:val="26EB3598"/>
    <w:rsid w:val="271B442E"/>
    <w:rsid w:val="27240F9C"/>
    <w:rsid w:val="272B664F"/>
    <w:rsid w:val="272D09AF"/>
    <w:rsid w:val="27862223"/>
    <w:rsid w:val="27B91633"/>
    <w:rsid w:val="27BE4B44"/>
    <w:rsid w:val="27D0173F"/>
    <w:rsid w:val="27DD18F1"/>
    <w:rsid w:val="28163B2C"/>
    <w:rsid w:val="281B2B80"/>
    <w:rsid w:val="28227A69"/>
    <w:rsid w:val="28331906"/>
    <w:rsid w:val="28DC66D6"/>
    <w:rsid w:val="28E6016C"/>
    <w:rsid w:val="28E61363"/>
    <w:rsid w:val="28ED5120"/>
    <w:rsid w:val="28F81A01"/>
    <w:rsid w:val="293C4340"/>
    <w:rsid w:val="29630D60"/>
    <w:rsid w:val="299261A8"/>
    <w:rsid w:val="29976826"/>
    <w:rsid w:val="2A447D96"/>
    <w:rsid w:val="2A484AE4"/>
    <w:rsid w:val="2AA22547"/>
    <w:rsid w:val="2AA27CAB"/>
    <w:rsid w:val="2B0651FF"/>
    <w:rsid w:val="2B8E3855"/>
    <w:rsid w:val="2B942C10"/>
    <w:rsid w:val="2BBE7D2C"/>
    <w:rsid w:val="2BD41345"/>
    <w:rsid w:val="2BEE5854"/>
    <w:rsid w:val="2C1A6473"/>
    <w:rsid w:val="2C897AD5"/>
    <w:rsid w:val="2CBD4227"/>
    <w:rsid w:val="2CF53182"/>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F3840"/>
    <w:rsid w:val="2F5C7A98"/>
    <w:rsid w:val="2F9D42C1"/>
    <w:rsid w:val="2FA13577"/>
    <w:rsid w:val="2FA616B9"/>
    <w:rsid w:val="2FA874B2"/>
    <w:rsid w:val="2FEF61B9"/>
    <w:rsid w:val="2FF61B1F"/>
    <w:rsid w:val="303E7739"/>
    <w:rsid w:val="30544032"/>
    <w:rsid w:val="30623857"/>
    <w:rsid w:val="30671CC4"/>
    <w:rsid w:val="307562FE"/>
    <w:rsid w:val="308512F4"/>
    <w:rsid w:val="308835B0"/>
    <w:rsid w:val="30A17FDC"/>
    <w:rsid w:val="30C1111D"/>
    <w:rsid w:val="30E85E7F"/>
    <w:rsid w:val="30F811AB"/>
    <w:rsid w:val="312253DC"/>
    <w:rsid w:val="313E40CB"/>
    <w:rsid w:val="316257D1"/>
    <w:rsid w:val="3186794B"/>
    <w:rsid w:val="318F0C07"/>
    <w:rsid w:val="31E871BF"/>
    <w:rsid w:val="31EC42D3"/>
    <w:rsid w:val="31F01E96"/>
    <w:rsid w:val="320870E0"/>
    <w:rsid w:val="3210025C"/>
    <w:rsid w:val="321466A7"/>
    <w:rsid w:val="32352F48"/>
    <w:rsid w:val="3246521D"/>
    <w:rsid w:val="3297664C"/>
    <w:rsid w:val="32B86216"/>
    <w:rsid w:val="32BF1CD9"/>
    <w:rsid w:val="32D6021D"/>
    <w:rsid w:val="33456D0A"/>
    <w:rsid w:val="334B2D3B"/>
    <w:rsid w:val="334C77CF"/>
    <w:rsid w:val="33563FC4"/>
    <w:rsid w:val="335E5AD0"/>
    <w:rsid w:val="33676308"/>
    <w:rsid w:val="33C375AD"/>
    <w:rsid w:val="33ED4BAD"/>
    <w:rsid w:val="3422206B"/>
    <w:rsid w:val="34460C91"/>
    <w:rsid w:val="344F318A"/>
    <w:rsid w:val="345676E2"/>
    <w:rsid w:val="345C691A"/>
    <w:rsid w:val="345D2E42"/>
    <w:rsid w:val="345E214B"/>
    <w:rsid w:val="34A50961"/>
    <w:rsid w:val="34AD087C"/>
    <w:rsid w:val="34BD1D33"/>
    <w:rsid w:val="34CD2EB2"/>
    <w:rsid w:val="34FE33DD"/>
    <w:rsid w:val="35293D5E"/>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2E0A25"/>
    <w:rsid w:val="3E3B24BF"/>
    <w:rsid w:val="3E64265A"/>
    <w:rsid w:val="3E6C3FAF"/>
    <w:rsid w:val="3E8E0FDF"/>
    <w:rsid w:val="3E93172F"/>
    <w:rsid w:val="3EA51E2C"/>
    <w:rsid w:val="3EAC040D"/>
    <w:rsid w:val="3EF34B07"/>
    <w:rsid w:val="3F1617B9"/>
    <w:rsid w:val="3F72094D"/>
    <w:rsid w:val="3FAD777A"/>
    <w:rsid w:val="3FC52740"/>
    <w:rsid w:val="3FD1085F"/>
    <w:rsid w:val="3FF13A3F"/>
    <w:rsid w:val="40117EB2"/>
    <w:rsid w:val="401A03CE"/>
    <w:rsid w:val="406075D2"/>
    <w:rsid w:val="406D1780"/>
    <w:rsid w:val="409A1B98"/>
    <w:rsid w:val="40CD6B92"/>
    <w:rsid w:val="411B4824"/>
    <w:rsid w:val="413D5C6F"/>
    <w:rsid w:val="413D73C6"/>
    <w:rsid w:val="4181493C"/>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A9444F"/>
    <w:rsid w:val="49EE28F9"/>
    <w:rsid w:val="4A1242B7"/>
    <w:rsid w:val="4A20103D"/>
    <w:rsid w:val="4A2631E4"/>
    <w:rsid w:val="4A9061CF"/>
    <w:rsid w:val="4A955F53"/>
    <w:rsid w:val="4B024453"/>
    <w:rsid w:val="4B144D40"/>
    <w:rsid w:val="4B230331"/>
    <w:rsid w:val="4B4107D0"/>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CB1184"/>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836079"/>
    <w:rsid w:val="509171DA"/>
    <w:rsid w:val="50CB4649"/>
    <w:rsid w:val="51057F79"/>
    <w:rsid w:val="51475CC0"/>
    <w:rsid w:val="514D59E0"/>
    <w:rsid w:val="51694330"/>
    <w:rsid w:val="51895191"/>
    <w:rsid w:val="51AF698E"/>
    <w:rsid w:val="51C06621"/>
    <w:rsid w:val="51C23BAD"/>
    <w:rsid w:val="51DD319C"/>
    <w:rsid w:val="51ED38A8"/>
    <w:rsid w:val="520F6D93"/>
    <w:rsid w:val="52252EBD"/>
    <w:rsid w:val="529B6F98"/>
    <w:rsid w:val="52A66C49"/>
    <w:rsid w:val="52B63145"/>
    <w:rsid w:val="52BB1F28"/>
    <w:rsid w:val="52E71FB4"/>
    <w:rsid w:val="53AE5964"/>
    <w:rsid w:val="53B54782"/>
    <w:rsid w:val="54494545"/>
    <w:rsid w:val="547B4879"/>
    <w:rsid w:val="54A04138"/>
    <w:rsid w:val="54AA0A30"/>
    <w:rsid w:val="54B00903"/>
    <w:rsid w:val="54CB7EA9"/>
    <w:rsid w:val="54DE3031"/>
    <w:rsid w:val="55696361"/>
    <w:rsid w:val="55703232"/>
    <w:rsid w:val="558D62F1"/>
    <w:rsid w:val="559270E0"/>
    <w:rsid w:val="55EB77C0"/>
    <w:rsid w:val="562F0357"/>
    <w:rsid w:val="564F69B6"/>
    <w:rsid w:val="565054D2"/>
    <w:rsid w:val="566E1BF3"/>
    <w:rsid w:val="569F775B"/>
    <w:rsid w:val="571D05A3"/>
    <w:rsid w:val="57303A7C"/>
    <w:rsid w:val="57481A8E"/>
    <w:rsid w:val="57841A3E"/>
    <w:rsid w:val="57900D67"/>
    <w:rsid w:val="57B01E54"/>
    <w:rsid w:val="57BD74D7"/>
    <w:rsid w:val="57C9376B"/>
    <w:rsid w:val="58337254"/>
    <w:rsid w:val="58836EBC"/>
    <w:rsid w:val="58B1460B"/>
    <w:rsid w:val="58D63927"/>
    <w:rsid w:val="58E00C77"/>
    <w:rsid w:val="58F0210A"/>
    <w:rsid w:val="59526204"/>
    <w:rsid w:val="59AD0C40"/>
    <w:rsid w:val="59AD1538"/>
    <w:rsid w:val="59AE2D44"/>
    <w:rsid w:val="59C23FD3"/>
    <w:rsid w:val="5A092DBB"/>
    <w:rsid w:val="5A0B5E95"/>
    <w:rsid w:val="5A246F57"/>
    <w:rsid w:val="5A377F44"/>
    <w:rsid w:val="5A4A1367"/>
    <w:rsid w:val="5A742D4C"/>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6349DB"/>
    <w:rsid w:val="667C7C00"/>
    <w:rsid w:val="668E1C3C"/>
    <w:rsid w:val="66E84324"/>
    <w:rsid w:val="66F44120"/>
    <w:rsid w:val="67321F44"/>
    <w:rsid w:val="67390939"/>
    <w:rsid w:val="676C2CBF"/>
    <w:rsid w:val="67C046AA"/>
    <w:rsid w:val="68791231"/>
    <w:rsid w:val="68812F96"/>
    <w:rsid w:val="688A1D55"/>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8954B5"/>
    <w:rsid w:val="6BAE42B9"/>
    <w:rsid w:val="6BBD214F"/>
    <w:rsid w:val="6BDF5F4E"/>
    <w:rsid w:val="6BED58AF"/>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9421E3"/>
    <w:rsid w:val="70AD0488"/>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5D19BD"/>
    <w:rsid w:val="729E7714"/>
    <w:rsid w:val="72C46BF7"/>
    <w:rsid w:val="72E05B87"/>
    <w:rsid w:val="72E61144"/>
    <w:rsid w:val="72ED6E2C"/>
    <w:rsid w:val="73A96C48"/>
    <w:rsid w:val="73F6333E"/>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E064F"/>
    <w:rsid w:val="7663600F"/>
    <w:rsid w:val="767D2049"/>
    <w:rsid w:val="768207A5"/>
    <w:rsid w:val="76A2179B"/>
    <w:rsid w:val="76A553DC"/>
    <w:rsid w:val="76D51348"/>
    <w:rsid w:val="76D66050"/>
    <w:rsid w:val="770352EE"/>
    <w:rsid w:val="77565832"/>
    <w:rsid w:val="776E4150"/>
    <w:rsid w:val="77890BDB"/>
    <w:rsid w:val="7793733B"/>
    <w:rsid w:val="77BA414F"/>
    <w:rsid w:val="77D3660D"/>
    <w:rsid w:val="785437D3"/>
    <w:rsid w:val="78565AAF"/>
    <w:rsid w:val="78BE7CBA"/>
    <w:rsid w:val="78C10517"/>
    <w:rsid w:val="78C71CD3"/>
    <w:rsid w:val="78DD3131"/>
    <w:rsid w:val="78E4026D"/>
    <w:rsid w:val="79427878"/>
    <w:rsid w:val="79430348"/>
    <w:rsid w:val="79701A39"/>
    <w:rsid w:val="799975C1"/>
    <w:rsid w:val="79B810F6"/>
    <w:rsid w:val="7A082988"/>
    <w:rsid w:val="7A1C10FB"/>
    <w:rsid w:val="7A286937"/>
    <w:rsid w:val="7A33250D"/>
    <w:rsid w:val="7A424D7F"/>
    <w:rsid w:val="7A4D4FC3"/>
    <w:rsid w:val="7A8A4F36"/>
    <w:rsid w:val="7A923E3F"/>
    <w:rsid w:val="7AB87EDD"/>
    <w:rsid w:val="7ABA7BB0"/>
    <w:rsid w:val="7ABB0624"/>
    <w:rsid w:val="7AC84DC1"/>
    <w:rsid w:val="7AE64B83"/>
    <w:rsid w:val="7AF42850"/>
    <w:rsid w:val="7B002162"/>
    <w:rsid w:val="7B124FB7"/>
    <w:rsid w:val="7B361A8A"/>
    <w:rsid w:val="7B4D52D4"/>
    <w:rsid w:val="7B83108A"/>
    <w:rsid w:val="7BAE5A06"/>
    <w:rsid w:val="7BDF1C40"/>
    <w:rsid w:val="7BFE2799"/>
    <w:rsid w:val="7CAB63B7"/>
    <w:rsid w:val="7CB818B8"/>
    <w:rsid w:val="7CD50713"/>
    <w:rsid w:val="7D6C401D"/>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Arial"/>
      <w:sz w:val="36"/>
      <w:szCs w:val="36"/>
      <w:lang w:val="en-GB" w:eastAsia="zh-CN" w:bidi="ar-SA"/>
    </w:rPr>
  </w:style>
  <w:style w:type="paragraph" w:styleId="3">
    <w:name w:val="heading 2"/>
    <w:basedOn w:val="2"/>
    <w:next w:val="1"/>
    <w:link w:val="41"/>
    <w:qFormat/>
    <w:uiPriority w:val="9"/>
    <w:pPr>
      <w:numPr>
        <w:numId w:val="0"/>
      </w:numPr>
      <w:pBdr>
        <w:top w:val="none" w:color="auto" w:sz="0" w:space="0"/>
      </w:pBdr>
      <w:spacing w:before="180"/>
      <w:outlineLvl w:val="1"/>
    </w:pPr>
    <w:rPr>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link w:val="35"/>
    <w:qFormat/>
    <w:uiPriority w:val="0"/>
    <w:pPr>
      <w:autoSpaceDE w:val="0"/>
      <w:autoSpaceDN w:val="0"/>
      <w:adjustRightInd w:val="0"/>
      <w:snapToGrid w:val="0"/>
      <w:spacing w:after="120" w:line="240" w:lineRule="auto"/>
      <w:jc w:val="center"/>
    </w:pPr>
    <w:rPr>
      <w:rFonts w:ascii="Times New Roman" w:hAnsi="Times New Roman" w:eastAsia="宋体" w:cs="Times New Roman"/>
      <w:b/>
      <w:bCs/>
      <w:kern w:val="2"/>
      <w:sz w:val="20"/>
      <w:szCs w:val="20"/>
      <w:lang w:val="en-GB"/>
    </w:rPr>
  </w:style>
  <w:style w:type="paragraph" w:styleId="5">
    <w:name w:val="annotation text"/>
    <w:basedOn w:val="1"/>
    <w:link w:val="30"/>
    <w:qFormat/>
    <w:uiPriority w:val="0"/>
  </w:style>
  <w:style w:type="paragraph" w:styleId="6">
    <w:name w:val="Body Text"/>
    <w:basedOn w:val="1"/>
    <w:link w:val="36"/>
    <w:qFormat/>
    <w:uiPriority w:val="0"/>
    <w:pPr>
      <w:spacing w:after="180" w:line="240" w:lineRule="auto"/>
    </w:pPr>
    <w:rPr>
      <w:rFonts w:ascii="Times New Roman" w:hAnsi="Times New Roman" w:cs="Times New Roman"/>
      <w:sz w:val="20"/>
      <w:szCs w:val="20"/>
      <w:lang w:val="en-GB" w:eastAsia="en-US"/>
    </w:rPr>
  </w:style>
  <w:style w:type="paragraph" w:styleId="7">
    <w:name w:val="Balloon Text"/>
    <w:basedOn w:val="1"/>
    <w:link w:val="28"/>
    <w:qFormat/>
    <w:uiPriority w:val="0"/>
    <w:pPr>
      <w:spacing w:after="0" w:line="240" w:lineRule="auto"/>
    </w:pPr>
    <w:rPr>
      <w:sz w:val="18"/>
      <w:szCs w:val="18"/>
    </w:rPr>
  </w:style>
  <w:style w:type="paragraph" w:styleId="8">
    <w:name w:val="footer"/>
    <w:basedOn w:val="1"/>
    <w:link w:val="34"/>
    <w:qFormat/>
    <w:uiPriority w:val="0"/>
    <w:pPr>
      <w:tabs>
        <w:tab w:val="center" w:pos="4153"/>
        <w:tab w:val="right" w:pos="8306"/>
      </w:tabs>
      <w:snapToGrid w:val="0"/>
      <w:spacing w:line="240" w:lineRule="auto"/>
    </w:pPr>
    <w:rPr>
      <w:sz w:val="18"/>
      <w:szCs w:val="18"/>
    </w:rPr>
  </w:style>
  <w:style w:type="paragraph" w:styleId="9">
    <w:name w:val="header"/>
    <w:basedOn w:val="1"/>
    <w:link w:val="33"/>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0">
    <w:name w:val="Normal (Web)"/>
    <w:basedOn w:val="1"/>
    <w:qFormat/>
    <w:uiPriority w:val="0"/>
    <w:pPr>
      <w:spacing w:beforeAutospacing="1" w:after="0" w:afterAutospacing="1"/>
    </w:pPr>
    <w:rPr>
      <w:rFonts w:cs="Times New Roman"/>
      <w:sz w:val="24"/>
    </w:rPr>
  </w:style>
  <w:style w:type="paragraph" w:styleId="11">
    <w:name w:val="annotation subject"/>
    <w:basedOn w:val="5"/>
    <w:next w:val="5"/>
    <w:link w:val="31"/>
    <w:qFormat/>
    <w:uiPriority w:val="0"/>
    <w:rPr>
      <w:b/>
      <w:bCs/>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Emphasis"/>
    <w:basedOn w:val="14"/>
    <w:qFormat/>
    <w:uiPriority w:val="0"/>
    <w:rPr>
      <w:i/>
    </w:rPr>
  </w:style>
  <w:style w:type="character" w:styleId="17">
    <w:name w:val="annotation reference"/>
    <w:basedOn w:val="14"/>
    <w:qFormat/>
    <w:uiPriority w:val="0"/>
    <w:rPr>
      <w:sz w:val="21"/>
      <w:szCs w:val="21"/>
    </w:rPr>
  </w:style>
  <w:style w:type="paragraph" w:customStyle="1" w:styleId="18">
    <w:name w:val="TH"/>
    <w:basedOn w:val="1"/>
    <w:qFormat/>
    <w:uiPriority w:val="0"/>
    <w:pPr>
      <w:keepNext/>
      <w:keepLines/>
      <w:spacing w:before="60"/>
      <w:jc w:val="center"/>
    </w:pPr>
    <w:rPr>
      <w:rFonts w:ascii="Arial" w:hAnsi="Arial"/>
      <w:b/>
    </w:rPr>
  </w:style>
  <w:style w:type="paragraph" w:customStyle="1" w:styleId="19">
    <w:name w:val="EW"/>
    <w:basedOn w:val="20"/>
    <w:qFormat/>
    <w:uiPriority w:val="0"/>
    <w:pPr>
      <w:spacing w:after="0"/>
    </w:pPr>
  </w:style>
  <w:style w:type="paragraph" w:customStyle="1" w:styleId="20">
    <w:name w:val="EX"/>
    <w:basedOn w:val="1"/>
    <w:qFormat/>
    <w:uiPriority w:val="99"/>
    <w:pPr>
      <w:keepLines/>
      <w:ind w:left="1702" w:hanging="1418"/>
    </w:pPr>
  </w:style>
  <w:style w:type="paragraph" w:customStyle="1" w:styleId="21">
    <w:name w:val="TAH"/>
    <w:basedOn w:val="22"/>
    <w:qFormat/>
    <w:uiPriority w:val="0"/>
    <w:rPr>
      <w:b/>
    </w:rPr>
  </w:style>
  <w:style w:type="paragraph" w:customStyle="1" w:styleId="22">
    <w:name w:val="TAC"/>
    <w:basedOn w:val="23"/>
    <w:qFormat/>
    <w:uiPriority w:val="0"/>
    <w:pPr>
      <w:jc w:val="center"/>
    </w:pPr>
  </w:style>
  <w:style w:type="paragraph" w:customStyle="1" w:styleId="23">
    <w:name w:val="TAL"/>
    <w:basedOn w:val="1"/>
    <w:qFormat/>
    <w:uiPriority w:val="0"/>
    <w:pPr>
      <w:keepNext/>
      <w:keepLines/>
      <w:spacing w:after="0"/>
    </w:pPr>
    <w:rPr>
      <w:rFonts w:ascii="Arial" w:hAnsi="Arial"/>
      <w:sz w:val="18"/>
    </w:rPr>
  </w:style>
  <w:style w:type="paragraph" w:customStyle="1" w:styleId="24">
    <w:name w:val="TAR"/>
    <w:basedOn w:val="23"/>
    <w:qFormat/>
    <w:uiPriority w:val="0"/>
    <w:pPr>
      <w:jc w:val="right"/>
    </w:pPr>
  </w:style>
  <w:style w:type="paragraph" w:customStyle="1" w:styleId="25">
    <w:name w:val="Proposal"/>
    <w:basedOn w:val="1"/>
    <w:qFormat/>
    <w:uiPriority w:val="0"/>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26">
    <w:name w:val="3GPP_Header"/>
    <w:basedOn w:val="1"/>
    <w:qFormat/>
    <w:uiPriority w:val="0"/>
    <w:pPr>
      <w:widowControl w:val="0"/>
      <w:tabs>
        <w:tab w:val="left" w:pos="1800"/>
        <w:tab w:val="right" w:pos="9360"/>
      </w:tabs>
      <w:spacing w:after="0" w:line="240" w:lineRule="auto"/>
      <w:jc w:val="both"/>
    </w:pPr>
    <w:rPr>
      <w:rFonts w:ascii="Arial" w:hAnsi="Arial" w:eastAsia="宋体"/>
      <w:b/>
      <w:kern w:val="2"/>
      <w:sz w:val="21"/>
    </w:rPr>
  </w:style>
  <w:style w:type="paragraph" w:customStyle="1" w:styleId="27">
    <w:name w:val="List Paragraph1"/>
    <w:basedOn w:val="1"/>
    <w:link w:val="32"/>
    <w:qFormat/>
    <w:uiPriority w:val="34"/>
    <w:pPr>
      <w:ind w:left="720"/>
      <w:contextualSpacing/>
    </w:pPr>
  </w:style>
  <w:style w:type="character" w:customStyle="1" w:styleId="28">
    <w:name w:val="批注框文本 Char"/>
    <w:basedOn w:val="14"/>
    <w:link w:val="7"/>
    <w:qFormat/>
    <w:uiPriority w:val="0"/>
    <w:rPr>
      <w:rFonts w:asciiTheme="minorHAnsi" w:hAnsiTheme="minorHAnsi" w:eastAsiaTheme="minorEastAsia" w:cstheme="minorBidi"/>
      <w:sz w:val="18"/>
      <w:szCs w:val="18"/>
    </w:rPr>
  </w:style>
  <w:style w:type="paragraph" w:styleId="29">
    <w:name w:val="List Paragraph"/>
    <w:basedOn w:val="1"/>
    <w:qFormat/>
    <w:uiPriority w:val="99"/>
    <w:pPr>
      <w:ind w:firstLine="420" w:firstLineChars="200"/>
    </w:pPr>
  </w:style>
  <w:style w:type="character" w:customStyle="1" w:styleId="30">
    <w:name w:val="批注文字 Char"/>
    <w:basedOn w:val="14"/>
    <w:link w:val="5"/>
    <w:qFormat/>
    <w:uiPriority w:val="0"/>
    <w:rPr>
      <w:rFonts w:asciiTheme="minorHAnsi" w:hAnsiTheme="minorHAnsi" w:eastAsiaTheme="minorEastAsia" w:cstheme="minorBidi"/>
      <w:sz w:val="22"/>
      <w:szCs w:val="22"/>
    </w:rPr>
  </w:style>
  <w:style w:type="character" w:customStyle="1" w:styleId="31">
    <w:name w:val="批注主题 Char"/>
    <w:basedOn w:val="30"/>
    <w:link w:val="11"/>
    <w:qFormat/>
    <w:uiPriority w:val="0"/>
    <w:rPr>
      <w:rFonts w:asciiTheme="minorHAnsi" w:hAnsiTheme="minorHAnsi" w:eastAsiaTheme="minorEastAsia" w:cstheme="minorBidi"/>
      <w:b/>
      <w:bCs/>
      <w:sz w:val="22"/>
      <w:szCs w:val="22"/>
    </w:rPr>
  </w:style>
  <w:style w:type="character" w:customStyle="1" w:styleId="32">
    <w:name w:val="List Paragraph Char"/>
    <w:link w:val="27"/>
    <w:qFormat/>
    <w:uiPriority w:val="34"/>
    <w:rPr>
      <w:rFonts w:asciiTheme="minorHAnsi" w:hAnsiTheme="minorHAnsi" w:eastAsiaTheme="minorEastAsia" w:cstheme="minorBidi"/>
      <w:sz w:val="22"/>
      <w:szCs w:val="22"/>
    </w:rPr>
  </w:style>
  <w:style w:type="character" w:customStyle="1" w:styleId="33">
    <w:name w:val="页眉 Char"/>
    <w:basedOn w:val="14"/>
    <w:link w:val="9"/>
    <w:qFormat/>
    <w:uiPriority w:val="0"/>
    <w:rPr>
      <w:rFonts w:asciiTheme="minorHAnsi" w:hAnsiTheme="minorHAnsi" w:eastAsiaTheme="minorEastAsia" w:cstheme="minorBidi"/>
      <w:sz w:val="18"/>
      <w:szCs w:val="18"/>
    </w:rPr>
  </w:style>
  <w:style w:type="character" w:customStyle="1" w:styleId="34">
    <w:name w:val="页脚 Char"/>
    <w:basedOn w:val="14"/>
    <w:link w:val="8"/>
    <w:qFormat/>
    <w:uiPriority w:val="0"/>
    <w:rPr>
      <w:rFonts w:asciiTheme="minorHAnsi" w:hAnsiTheme="minorHAnsi" w:eastAsiaTheme="minorEastAsia" w:cstheme="minorBidi"/>
      <w:sz w:val="18"/>
      <w:szCs w:val="18"/>
    </w:rPr>
  </w:style>
  <w:style w:type="character" w:customStyle="1" w:styleId="35">
    <w:name w:val="题注 Char"/>
    <w:link w:val="4"/>
    <w:qFormat/>
    <w:uiPriority w:val="0"/>
    <w:rPr>
      <w:rFonts w:eastAsia="宋体"/>
      <w:b/>
      <w:bCs/>
      <w:kern w:val="2"/>
      <w:lang w:val="en-GB"/>
    </w:rPr>
  </w:style>
  <w:style w:type="character" w:customStyle="1" w:styleId="36">
    <w:name w:val="正文文本 Char"/>
    <w:basedOn w:val="14"/>
    <w:link w:val="6"/>
    <w:qFormat/>
    <w:uiPriority w:val="0"/>
    <w:rPr>
      <w:rFonts w:eastAsiaTheme="minorEastAsia"/>
      <w:lang w:val="en-GB" w:eastAsia="en-US"/>
    </w:rPr>
  </w:style>
  <w:style w:type="paragraph" w:customStyle="1" w:styleId="37">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38">
    <w:name w:val="Revision1"/>
    <w:hidden/>
    <w:semiHidden/>
    <w:qFormat/>
    <w:uiPriority w:val="99"/>
    <w:rPr>
      <w:rFonts w:asciiTheme="minorHAnsi" w:hAnsiTheme="minorHAnsi" w:eastAsiaTheme="minorEastAsia" w:cstheme="minorBidi"/>
      <w:sz w:val="22"/>
      <w:szCs w:val="22"/>
      <w:lang w:val="en-US" w:eastAsia="zh-CN" w:bidi="ar-SA"/>
    </w:rPr>
  </w:style>
  <w:style w:type="character" w:customStyle="1" w:styleId="39">
    <w:name w:val="apple-converted-space"/>
    <w:basedOn w:val="14"/>
    <w:qFormat/>
    <w:uiPriority w:val="0"/>
  </w:style>
  <w:style w:type="paragraph" w:customStyle="1" w:styleId="40">
    <w:name w:val="Reference"/>
    <w:basedOn w:val="1"/>
    <w:qFormat/>
    <w:uiPriority w:val="0"/>
    <w:pPr>
      <w:numPr>
        <w:ilvl w:val="0"/>
        <w:numId w:val="2"/>
      </w:numPr>
    </w:pPr>
  </w:style>
  <w:style w:type="character" w:customStyle="1" w:styleId="41">
    <w:name w:val="标题 2 Char"/>
    <w:link w:val="3"/>
    <w:qFormat/>
    <w:uiPriority w:val="9"/>
    <w:rPr>
      <w:rFonts w:ascii="Arial" w:hAnsi="Arial" w:eastAsia="Times New Roman" w:cs="Arial"/>
      <w:sz w:val="32"/>
      <w:szCs w:val="32"/>
      <w:lang w:val="en-GB"/>
    </w:rPr>
  </w:style>
  <w:style w:type="paragraph" w:customStyle="1" w:styleId="42">
    <w:name w:val="Revision2"/>
    <w:hidden/>
    <w:semiHidden/>
    <w:qFormat/>
    <w:uiPriority w:val="99"/>
    <w:rPr>
      <w:rFonts w:asciiTheme="minorHAnsi" w:hAnsiTheme="minorHAnsi" w:eastAsiaTheme="minorEastAsia" w:cstheme="minorBidi"/>
      <w:sz w:val="22"/>
      <w:szCs w:val="22"/>
      <w:lang w:val="en-US" w:eastAsia="zh-CN" w:bidi="ar-SA"/>
    </w:rPr>
  </w:style>
  <w:style w:type="character" w:styleId="43">
    <w:name w:val="Placeholder Text"/>
    <w:basedOn w:val="14"/>
    <w:semiHidden/>
    <w:qFormat/>
    <w:uiPriority w:val="99"/>
    <w:rPr>
      <w:color w:val="808080"/>
    </w:rPr>
  </w:style>
  <w:style w:type="paragraph" w:customStyle="1" w:styleId="44">
    <w:name w:val="修订1"/>
    <w:hidden/>
    <w:semiHidden/>
    <w:qFormat/>
    <w:uiPriority w:val="99"/>
    <w:rPr>
      <w:rFonts w:asciiTheme="minorHAnsi" w:hAnsiTheme="minorHAnsi" w:eastAsiaTheme="minorEastAsia" w:cstheme="minorBidi"/>
      <w:sz w:val="22"/>
      <w:szCs w:val="22"/>
      <w:lang w:val="en-US" w:eastAsia="zh-CN" w:bidi="ar-SA"/>
    </w:rPr>
  </w:style>
  <w:style w:type="paragraph" w:customStyle="1" w:styleId="45">
    <w:name w:val="修订2"/>
    <w:hidden/>
    <w:semiHidden/>
    <w:qFormat/>
    <w:uiPriority w:val="99"/>
    <w:rPr>
      <w:rFonts w:asciiTheme="minorHAnsi" w:hAnsiTheme="minorHAnsi" w:eastAsiaTheme="minorEastAsia" w:cstheme="minorBidi"/>
      <w:sz w:val="22"/>
      <w:szCs w:val="22"/>
      <w:lang w:val="en-US" w:eastAsia="zh-CN" w:bidi="ar-SA"/>
    </w:rPr>
  </w:style>
  <w:style w:type="paragraph" w:customStyle="1" w:styleId="46">
    <w:name w:val="Draft Proposal"/>
    <w:basedOn w:val="1"/>
    <w:qFormat/>
    <w:uiPriority w:val="99"/>
    <w:pPr>
      <w:numPr>
        <w:ilvl w:val="0"/>
        <w:numId w:val="3"/>
      </w:numPr>
      <w:tabs>
        <w:tab w:val="left" w:pos="720"/>
      </w:tabs>
      <w:spacing w:line="252" w:lineRule="auto"/>
      <w:ind w:left="0" w:firstLine="0"/>
    </w:pPr>
    <w:rPr>
      <w:rFonts w:ascii="Arial" w:hAnsi="Arial" w:eastAsia="Calibri" w:cs="Arial"/>
      <w:b/>
      <w:bCs/>
    </w:rPr>
  </w:style>
  <w:style w:type="paragraph" w:customStyle="1" w:styleId="47">
    <w:name w:val="Doc-text2"/>
    <w:basedOn w:val="1"/>
    <w:qFormat/>
    <w:uiPriority w:val="0"/>
    <w:pPr>
      <w:tabs>
        <w:tab w:val="left" w:pos="1622"/>
      </w:tabs>
      <w:ind w:left="1622" w:hanging="363"/>
    </w:pPr>
    <w:rPr>
      <w:rFonts w:ascii="Arial" w:hAnsi="Arial" w:eastAsia="MS Mincho"/>
      <w:lang w:eastAsia="en-GB"/>
    </w:rPr>
  </w:style>
  <w:style w:type="paragraph" w:customStyle="1" w:styleId="48">
    <w:name w:val="Agreement"/>
    <w:basedOn w:val="1"/>
    <w:next w:val="47"/>
    <w:qFormat/>
    <w:uiPriority w:val="99"/>
    <w:pPr>
      <w:numPr>
        <w:ilvl w:val="0"/>
        <w:numId w:val="4"/>
      </w:numPr>
      <w:spacing w:before="60"/>
    </w:pPr>
    <w:rPr>
      <w:b/>
    </w:rPr>
  </w:style>
  <w:style w:type="paragraph" w:customStyle="1" w:styleId="49">
    <w:name w:val="x_msonormal"/>
    <w:basedOn w:val="1"/>
    <w:qFormat/>
    <w:uiPriority w:val="0"/>
    <w:pPr>
      <w:spacing w:after="0"/>
    </w:pPr>
    <w:rPr>
      <w:rFonts w:ascii="宋体" w:hAnsi="宋体" w:eastAsia="宋体"/>
      <w:sz w:val="24"/>
      <w:szCs w:val="24"/>
    </w:rPr>
  </w:style>
  <w:style w:type="paragraph" w:customStyle="1" w:styleId="50">
    <w:name w:val="x_msolistparagraph"/>
    <w:basedOn w:val="1"/>
    <w:qFormat/>
    <w:uiPriority w:val="0"/>
    <w:pPr>
      <w:spacing w:after="0"/>
    </w:pPr>
    <w:rPr>
      <w:rFonts w:ascii="宋体" w:hAnsi="宋体" w:eastAsia="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231089-BA6C-4582-8A10-AAFE137BA204}">
  <ds:schemaRefs/>
</ds:datastoreItem>
</file>

<file path=docProps/app.xml><?xml version="1.0" encoding="utf-8"?>
<Properties xmlns="http://schemas.openxmlformats.org/officeDocument/2006/extended-properties" xmlns:vt="http://schemas.openxmlformats.org/officeDocument/2006/docPropsVTypes">
  <Template>Normal</Template>
  <Pages>5</Pages>
  <Words>2391</Words>
  <Characters>13634</Characters>
  <Lines>113</Lines>
  <Paragraphs>31</Paragraphs>
  <TotalTime>4</TotalTime>
  <ScaleCrop>false</ScaleCrop>
  <LinksUpToDate>false</LinksUpToDate>
  <CharactersWithSpaces>15994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2022-04-19T00:52:00Z</dcterms:created>
  <dc:creator>张楠10184108</dc:creator>
  <cp:lastModifiedBy>ZTE</cp:lastModifiedBy>
  <dcterms:modified xsi:type="dcterms:W3CDTF">2022-04-25T03:33:13Z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